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2CC4" w14:textId="77777777" w:rsidR="00E67EFF" w:rsidRDefault="00B33079" w:rsidP="00E67EFF">
      <w:r>
        <w:rPr>
          <w:noProof/>
        </w:rPr>
        <w:drawing>
          <wp:anchor distT="0" distB="0" distL="114300" distR="114300" simplePos="0" relativeHeight="251661312" behindDoc="0" locked="1" layoutInCell="1" allowOverlap="1" wp14:anchorId="0F677FB8" wp14:editId="109B7D1B">
            <wp:simplePos x="0" y="0"/>
            <wp:positionH relativeFrom="page">
              <wp:posOffset>648335</wp:posOffset>
            </wp:positionH>
            <wp:positionV relativeFrom="page">
              <wp:posOffset>540385</wp:posOffset>
            </wp:positionV>
            <wp:extent cx="1044000" cy="673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4000" cy="673200"/>
                    </a:xfrm>
                    <a:prstGeom prst="rect">
                      <a:avLst/>
                    </a:prstGeom>
                  </pic:spPr>
                </pic:pic>
              </a:graphicData>
            </a:graphic>
            <wp14:sizeRelH relativeFrom="margin">
              <wp14:pctWidth>0</wp14:pctWidth>
            </wp14:sizeRelH>
            <wp14:sizeRelV relativeFrom="margin">
              <wp14:pctHeight>0</wp14:pctHeight>
            </wp14:sizeRelV>
          </wp:anchor>
        </w:drawing>
      </w:r>
    </w:p>
    <w:p w14:paraId="159F2BFB" w14:textId="77777777" w:rsidR="00E67EFF" w:rsidRDefault="00E67EFF" w:rsidP="00E67EFF"/>
    <w:p w14:paraId="1666E852" w14:textId="77777777" w:rsidR="00E67EFF" w:rsidRDefault="00E67EFF" w:rsidP="00E67EFF"/>
    <w:p w14:paraId="04EB44BF" w14:textId="77777777" w:rsidR="00E67EFF" w:rsidRDefault="00E67EFF" w:rsidP="00E67EFF"/>
    <w:p w14:paraId="50B8F448" w14:textId="59409119" w:rsidR="00E67EFF" w:rsidRDefault="00901CBA" w:rsidP="00E67EFF">
      <w:pPr>
        <w:pStyle w:val="Reporttitle"/>
      </w:pPr>
      <w:r>
        <w:t>Support for housebuilding lpg</w:t>
      </w:r>
    </w:p>
    <w:p w14:paraId="62803E07" w14:textId="77777777" w:rsidR="00E67EFF" w:rsidRPr="00E67EFF" w:rsidRDefault="00E67EFF" w:rsidP="00E67EFF">
      <w:pPr>
        <w:pStyle w:val="DocumentName"/>
      </w:pPr>
      <w:r>
        <w:t>Consultation response</w:t>
      </w:r>
    </w:p>
    <w:p w14:paraId="6CD88482" w14:textId="77777777" w:rsidR="00E67EFF" w:rsidRDefault="00E67EFF">
      <w:pPr>
        <w:spacing w:line="240" w:lineRule="auto"/>
      </w:pPr>
    </w:p>
    <w:p w14:paraId="496053A1" w14:textId="3029D9B0" w:rsidR="00421B06" w:rsidRDefault="00DD0B81">
      <w:pPr>
        <w:spacing w:line="240" w:lineRule="auto"/>
        <w:sectPr w:rsidR="00421B06" w:rsidSect="0067180B">
          <w:headerReference w:type="default" r:id="rId12"/>
          <w:footerReference w:type="default" r:id="rId13"/>
          <w:headerReference w:type="first" r:id="rId14"/>
          <w:pgSz w:w="11906" w:h="16838" w:code="9"/>
          <w:pgMar w:top="2892" w:right="851" w:bottom="1418" w:left="2353" w:header="680" w:footer="454" w:gutter="0"/>
          <w:cols w:space="708"/>
          <w:titlePg/>
          <w:docGrid w:linePitch="360"/>
        </w:sectPr>
      </w:pPr>
      <w:r>
        <w:rPr>
          <w:noProof/>
        </w:rPr>
        <mc:AlternateContent>
          <mc:Choice Requires="wps">
            <w:drawing>
              <wp:anchor distT="0" distB="0" distL="114300" distR="114300" simplePos="0" relativeHeight="251663360" behindDoc="0" locked="1" layoutInCell="1" allowOverlap="1" wp14:anchorId="5090F3BA" wp14:editId="64249C7D">
                <wp:simplePos x="0" y="0"/>
                <wp:positionH relativeFrom="margin">
                  <wp:align>left</wp:align>
                </wp:positionH>
                <wp:positionV relativeFrom="page">
                  <wp:posOffset>9089390</wp:posOffset>
                </wp:positionV>
                <wp:extent cx="1885950" cy="1079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85950" cy="1079500"/>
                        </a:xfrm>
                        <a:prstGeom prst="rect">
                          <a:avLst/>
                        </a:prstGeom>
                        <a:noFill/>
                        <a:ln w="6350">
                          <a:noFill/>
                        </a:ln>
                      </wps:spPr>
                      <wps:txbx>
                        <w:txbxContent>
                          <w:tbl>
                            <w:tblPr>
                              <w:tblStyle w:val="TableGrid"/>
                              <w:tblW w:w="2778" w:type="dxa"/>
                              <w:tblBorders>
                                <w:top w:val="single" w:sz="8"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DD0B81" w:rsidRPr="00D63730" w14:paraId="69FD369E" w14:textId="77777777" w:rsidTr="00AA6B7F">
                              <w:tc>
                                <w:tcPr>
                                  <w:tcW w:w="2722" w:type="dxa"/>
                                </w:tcPr>
                                <w:p w14:paraId="00C30226" w14:textId="77777777" w:rsidR="00DD0B81" w:rsidRDefault="00DD0B81" w:rsidP="00B906C8">
                                  <w:pPr>
                                    <w:spacing w:line="220" w:lineRule="atLeast"/>
                                    <w:rPr>
                                      <w:rFonts w:ascii="Open Sans" w:hAnsi="Open Sans" w:cs="Open Sans"/>
                                      <w:color w:val="FFFFFF" w:themeColor="background1"/>
                                      <w:sz w:val="18"/>
                                      <w:szCs w:val="18"/>
                                    </w:rPr>
                                  </w:pPr>
                                </w:p>
                                <w:p w14:paraId="54362007" w14:textId="77777777" w:rsidR="00DD0B81" w:rsidRPr="00D63730" w:rsidRDefault="00DD0B81" w:rsidP="00B906C8">
                                  <w:pPr>
                                    <w:spacing w:line="220" w:lineRule="atLeast"/>
                                    <w:rPr>
                                      <w:rFonts w:ascii="Open Sans" w:hAnsi="Open Sans" w:cs="Open Sans"/>
                                      <w:b/>
                                      <w:bCs/>
                                      <w:caps/>
                                      <w:color w:val="FFFFFF" w:themeColor="background1"/>
                                      <w:sz w:val="18"/>
                                      <w:szCs w:val="18"/>
                                    </w:rPr>
                                  </w:pPr>
                                  <w:r w:rsidRPr="00D63730">
                                    <w:rPr>
                                      <w:rFonts w:ascii="Open Sans" w:hAnsi="Open Sans" w:cs="Open Sans"/>
                                      <w:b/>
                                      <w:bCs/>
                                      <w:caps/>
                                      <w:color w:val="FFFFFF" w:themeColor="background1"/>
                                      <w:sz w:val="18"/>
                                      <w:szCs w:val="18"/>
                                    </w:rPr>
                                    <w:t>Prepared and submitted by</w:t>
                                  </w:r>
                                </w:p>
                                <w:p w14:paraId="3B779D89" w14:textId="77777777" w:rsidR="00DD0B81" w:rsidRPr="00D63730" w:rsidRDefault="00DD0B81"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Jordan McCay</w:t>
                                  </w:r>
                                </w:p>
                                <w:p w14:paraId="76E372C6" w14:textId="77777777" w:rsidR="00DD0B81" w:rsidRPr="00D63730" w:rsidRDefault="00DD0B81"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Policy Officer</w:t>
                                  </w:r>
                                </w:p>
                                <w:p w14:paraId="0EB70640" w14:textId="77777777" w:rsidR="00DD0B81" w:rsidRPr="00D63730" w:rsidRDefault="00DD0B81"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T: </w:t>
                                  </w:r>
                                  <w:r w:rsidRPr="00607E06">
                                    <w:rPr>
                                      <w:rFonts w:ascii="Open Sans" w:hAnsi="Open Sans" w:cs="Open Sans"/>
                                      <w:color w:val="FFFFFF" w:themeColor="background1"/>
                                      <w:sz w:val="18"/>
                                      <w:szCs w:val="18"/>
                                    </w:rPr>
                                    <w:t>02078020116</w:t>
                                  </w:r>
                                </w:p>
                                <w:p w14:paraId="1E778385" w14:textId="77777777" w:rsidR="00DD0B81" w:rsidRPr="00D63730" w:rsidRDefault="00DD0B81"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E: </w:t>
                                  </w:r>
                                  <w:r>
                                    <w:rPr>
                                      <w:rFonts w:ascii="Open Sans" w:hAnsi="Open Sans" w:cs="Open Sans"/>
                                      <w:color w:val="FFFFFF" w:themeColor="background1"/>
                                      <w:sz w:val="18"/>
                                      <w:szCs w:val="18"/>
                                    </w:rPr>
                                    <w:t>jmccay@bpf.org.uk</w:t>
                                  </w:r>
                                </w:p>
                              </w:tc>
                            </w:tr>
                          </w:tbl>
                          <w:p w14:paraId="3225392B" w14:textId="77777777" w:rsidR="00DD0B81" w:rsidRDefault="00DD0B81" w:rsidP="00DD0B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F3BA" id="_x0000_t202" coordsize="21600,21600" o:spt="202" path="m,l,21600r21600,l21600,xe">
                <v:stroke joinstyle="miter"/>
                <v:path gradientshapeok="t" o:connecttype="rect"/>
              </v:shapetype>
              <v:shape id="Text Box 3" o:spid="_x0000_s1026" type="#_x0000_t202" style="position:absolute;margin-left:0;margin-top:715.7pt;width:148.5pt;height: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" filled="f" stroked="f" strokeweight=".5pt">
                <v:textbox inset="0,0,0,0">
                  <w:txbxContent>
                    <w:tbl>
                      <w:tblPr>
                        <w:tblStyle w:val="TableGrid"/>
                        <w:tblW w:w="2778" w:type="dxa"/>
                        <w:tblBorders>
                          <w:top w:val="single" w:sz="8"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DD0B81" w:rsidRPr="00D63730" w14:paraId="69FD369E" w14:textId="77777777" w:rsidTr="00AA6B7F">
                        <w:tc>
                          <w:tcPr>
                            <w:tcW w:w="2722" w:type="dxa"/>
                          </w:tcPr>
                          <w:p w14:paraId="00C30226" w14:textId="77777777" w:rsidR="00DD0B81" w:rsidRDefault="00DD0B81" w:rsidP="00B906C8">
                            <w:pPr>
                              <w:spacing w:line="220" w:lineRule="atLeast"/>
                              <w:rPr>
                                <w:rFonts w:ascii="Open Sans" w:hAnsi="Open Sans" w:cs="Open Sans"/>
                                <w:color w:val="FFFFFF" w:themeColor="background1"/>
                                <w:sz w:val="18"/>
                                <w:szCs w:val="18"/>
                              </w:rPr>
                            </w:pPr>
                          </w:p>
                          <w:p w14:paraId="54362007" w14:textId="77777777" w:rsidR="00DD0B81" w:rsidRPr="00D63730" w:rsidRDefault="00DD0B81" w:rsidP="00B906C8">
                            <w:pPr>
                              <w:spacing w:line="220" w:lineRule="atLeast"/>
                              <w:rPr>
                                <w:rFonts w:ascii="Open Sans" w:hAnsi="Open Sans" w:cs="Open Sans"/>
                                <w:b/>
                                <w:bCs/>
                                <w:caps/>
                                <w:color w:val="FFFFFF" w:themeColor="background1"/>
                                <w:sz w:val="18"/>
                                <w:szCs w:val="18"/>
                              </w:rPr>
                            </w:pPr>
                            <w:r w:rsidRPr="00D63730">
                              <w:rPr>
                                <w:rFonts w:ascii="Open Sans" w:hAnsi="Open Sans" w:cs="Open Sans"/>
                                <w:b/>
                                <w:bCs/>
                                <w:caps/>
                                <w:color w:val="FFFFFF" w:themeColor="background1"/>
                                <w:sz w:val="18"/>
                                <w:szCs w:val="18"/>
                              </w:rPr>
                              <w:t>Prepared and submitted by</w:t>
                            </w:r>
                          </w:p>
                          <w:p w14:paraId="3B779D89" w14:textId="77777777" w:rsidR="00DD0B81" w:rsidRPr="00D63730" w:rsidRDefault="00DD0B81"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Jordan McCay</w:t>
                            </w:r>
                          </w:p>
                          <w:p w14:paraId="76E372C6" w14:textId="77777777" w:rsidR="00DD0B81" w:rsidRPr="00D63730" w:rsidRDefault="00DD0B81"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Policy Officer</w:t>
                            </w:r>
                          </w:p>
                          <w:p w14:paraId="0EB70640" w14:textId="77777777" w:rsidR="00DD0B81" w:rsidRPr="00D63730" w:rsidRDefault="00DD0B81"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T: </w:t>
                            </w:r>
                            <w:r w:rsidRPr="00607E06">
                              <w:rPr>
                                <w:rFonts w:ascii="Open Sans" w:hAnsi="Open Sans" w:cs="Open Sans"/>
                                <w:color w:val="FFFFFF" w:themeColor="background1"/>
                                <w:sz w:val="18"/>
                                <w:szCs w:val="18"/>
                              </w:rPr>
                              <w:t>02078020116</w:t>
                            </w:r>
                          </w:p>
                          <w:p w14:paraId="1E778385" w14:textId="77777777" w:rsidR="00DD0B81" w:rsidRPr="00D63730" w:rsidRDefault="00DD0B81"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E: </w:t>
                            </w:r>
                            <w:r>
                              <w:rPr>
                                <w:rFonts w:ascii="Open Sans" w:hAnsi="Open Sans" w:cs="Open Sans"/>
                                <w:color w:val="FFFFFF" w:themeColor="background1"/>
                                <w:sz w:val="18"/>
                                <w:szCs w:val="18"/>
                              </w:rPr>
                              <w:t>jmccay@bpf.org.uk</w:t>
                            </w:r>
                          </w:p>
                        </w:tc>
                      </w:tr>
                    </w:tbl>
                    <w:p w14:paraId="3225392B" w14:textId="77777777" w:rsidR="00DD0B81" w:rsidRDefault="00DD0B81" w:rsidP="00DD0B81"/>
                  </w:txbxContent>
                </v:textbox>
                <w10:wrap anchorx="margin" anchory="page"/>
                <w10:anchorlock/>
              </v:shape>
            </w:pict>
          </mc:Fallback>
        </mc:AlternateContent>
      </w:r>
    </w:p>
    <w:p w14:paraId="1174C58B" w14:textId="0C1715D1" w:rsidR="00BE4B36" w:rsidRDefault="00BE4B36" w:rsidP="3F050C90">
      <w:r w:rsidRPr="3F050C90">
        <w:rPr>
          <w:rStyle w:val="Heading3Char"/>
        </w:rPr>
        <w:lastRenderedPageBreak/>
        <w:t>Introduction</w:t>
      </w:r>
      <w:r>
        <w:br/>
      </w:r>
      <w:r>
        <w:br/>
      </w:r>
      <w:r w:rsidR="7A302D49" w:rsidRPr="3F050C90">
        <w:t>The British Property Federation (BPF) represents the real estate sector – an industry which contributed more than £116bn to the economy in 2020 and supported more than 2.4 million jobs. We promote the interests of those with a stake in the UK built environment, and our membership comprises a broad range of owners, managers and developers of real estate as well as those who support them. Their investments help drive the UK's economic success; provide essential infrastructure and create great places where people can live, work and relax.</w:t>
      </w:r>
    </w:p>
    <w:p w14:paraId="2FB6ECB7" w14:textId="0BD6463E" w:rsidR="00BE4B36" w:rsidRDefault="00BE4B36" w:rsidP="3F050C90">
      <w:pPr>
        <w:spacing w:line="240" w:lineRule="auto"/>
        <w:rPr>
          <w:rFonts w:ascii="Open Sans Light" w:eastAsia="Open Sans Light" w:hAnsi="Open Sans Light" w:cs="Open Sans Light"/>
        </w:rPr>
      </w:pPr>
    </w:p>
    <w:p w14:paraId="0C50CBCC" w14:textId="0CA11473" w:rsidR="00BE4B36" w:rsidRDefault="7A302D49" w:rsidP="3F050C90">
      <w:pPr>
        <w:pStyle w:val="Heading3"/>
      </w:pPr>
      <w:r>
        <w:t>General Comments</w:t>
      </w:r>
    </w:p>
    <w:p w14:paraId="3FA8443A" w14:textId="71B51D79" w:rsidR="00BE4B36" w:rsidRDefault="7A302D49" w:rsidP="3F050C90">
      <w:pPr>
        <w:spacing w:before="240" w:after="240" w:line="240" w:lineRule="auto"/>
      </w:pPr>
      <w:r w:rsidRPr="3F050C90">
        <w:t>The British Property Federation (BPF) welcomes the Mayor’s recognition of the acute viability crisis facing London’s housing market. The proposals to introduce temporary flexibility into the London Plan and associated guidance are a positive step toward unlocking stalled developments and accelerating the delivery of much-needed homes. We particularly support the pragmatic move toward a rules-based, certain environment that reduces the reliance on protracted, scheme-by-scheme viability negotiations.</w:t>
      </w:r>
    </w:p>
    <w:p w14:paraId="5FB0992A" w14:textId="1F2A5EF4" w:rsidR="00BE4B36" w:rsidRDefault="7A302D49" w:rsidP="3F050C90">
      <w:pPr>
        <w:spacing w:before="240" w:after="240" w:line="240" w:lineRule="auto"/>
      </w:pPr>
      <w:r w:rsidRPr="3F050C90">
        <w:t>However, for these emergency measures to be truly effective, they must align with the operational and financial realities of the development industry. Our response focuses on three thematic areas:</w:t>
      </w:r>
    </w:p>
    <w:p w14:paraId="6D48738A" w14:textId="22FA4CD8" w:rsidR="00BE4B36" w:rsidRDefault="7A302D49" w:rsidP="3F050C90">
      <w:pPr>
        <w:pStyle w:val="ListParagraph"/>
        <w:numPr>
          <w:ilvl w:val="0"/>
          <w:numId w:val="1"/>
        </w:numPr>
        <w:spacing w:before="240" w:after="240" w:line="240" w:lineRule="auto"/>
        <w:rPr>
          <w:color w:val="58626E" w:themeColor="text2"/>
          <w:sz w:val="20"/>
          <w:szCs w:val="20"/>
        </w:rPr>
      </w:pPr>
      <w:r w:rsidRPr="004F2F42">
        <w:rPr>
          <w:b/>
          <w:bCs/>
          <w:color w:val="58626E" w:themeColor="text2"/>
          <w:sz w:val="20"/>
          <w:szCs w:val="20"/>
        </w:rPr>
        <w:t>Operational Realism:</w:t>
      </w:r>
      <w:r w:rsidRPr="3F050C90">
        <w:rPr>
          <w:color w:val="58626E" w:themeColor="text2"/>
          <w:sz w:val="20"/>
          <w:szCs w:val="20"/>
        </w:rPr>
        <w:t xml:space="preserve"> Technical standards—such as cycle parking and core density—must be evidence-led. Current requirements often impose disproportionate costs that do not reflect actual resident </w:t>
      </w:r>
      <w:r w:rsidR="5389ADC5" w:rsidRPr="3F050C90">
        <w:rPr>
          <w:color w:val="58626E" w:themeColor="text2"/>
          <w:sz w:val="20"/>
          <w:szCs w:val="20"/>
        </w:rPr>
        <w:t>behaviour</w:t>
      </w:r>
      <w:r w:rsidRPr="3F050C90">
        <w:rPr>
          <w:color w:val="58626E" w:themeColor="text2"/>
          <w:sz w:val="20"/>
          <w:szCs w:val="20"/>
        </w:rPr>
        <w:t xml:space="preserve"> or modern mobility trends.</w:t>
      </w:r>
    </w:p>
    <w:p w14:paraId="3006C202" w14:textId="781E4F3F" w:rsidR="00BE4B36" w:rsidRDefault="7A302D49" w:rsidP="3F050C90">
      <w:pPr>
        <w:pStyle w:val="ListParagraph"/>
        <w:numPr>
          <w:ilvl w:val="0"/>
          <w:numId w:val="1"/>
        </w:numPr>
        <w:spacing w:before="240" w:after="240" w:line="240" w:lineRule="auto"/>
        <w:rPr>
          <w:color w:val="58626E" w:themeColor="text2"/>
          <w:sz w:val="20"/>
          <w:szCs w:val="20"/>
        </w:rPr>
      </w:pPr>
      <w:r w:rsidRPr="004F2F42">
        <w:rPr>
          <w:b/>
          <w:bCs/>
          <w:color w:val="58626E" w:themeColor="text2"/>
          <w:sz w:val="20"/>
          <w:szCs w:val="20"/>
        </w:rPr>
        <w:t>Design Flexibility:</w:t>
      </w:r>
      <w:r w:rsidRPr="3F050C90">
        <w:rPr>
          <w:color w:val="58626E" w:themeColor="text2"/>
          <w:sz w:val="20"/>
          <w:szCs w:val="20"/>
        </w:rPr>
        <w:t xml:space="preserve"> Removing rigid numerical caps on dwellings per core and loosening the "exceptional circumstances" rule for single-aspect homes will allow for more efficient, high-quality urban densification.</w:t>
      </w:r>
    </w:p>
    <w:p w14:paraId="5AE241CF" w14:textId="6B532D99" w:rsidR="00BE4B36" w:rsidRDefault="7A302D49" w:rsidP="3F050C90">
      <w:pPr>
        <w:pStyle w:val="ListParagraph"/>
        <w:numPr>
          <w:ilvl w:val="0"/>
          <w:numId w:val="1"/>
        </w:numPr>
        <w:spacing w:before="240" w:after="240" w:line="240" w:lineRule="auto"/>
        <w:rPr>
          <w:color w:val="58626E" w:themeColor="text2"/>
          <w:sz w:val="20"/>
          <w:szCs w:val="20"/>
        </w:rPr>
      </w:pPr>
      <w:r w:rsidRPr="004F2F42">
        <w:rPr>
          <w:b/>
          <w:bCs/>
          <w:color w:val="58626E" w:themeColor="text2"/>
          <w:sz w:val="20"/>
          <w:szCs w:val="20"/>
        </w:rPr>
        <w:t>Meaningful Implementation Windows:</w:t>
      </w:r>
      <w:r w:rsidRPr="3F050C90">
        <w:rPr>
          <w:color w:val="58626E" w:themeColor="text2"/>
          <w:sz w:val="20"/>
          <w:szCs w:val="20"/>
        </w:rPr>
        <w:t xml:space="preserve"> The "temporary" nature of these routes </w:t>
      </w:r>
      <w:r w:rsidR="00A37684">
        <w:rPr>
          <w:color w:val="58626E" w:themeColor="text2"/>
          <w:sz w:val="20"/>
          <w:szCs w:val="20"/>
        </w:rPr>
        <w:t xml:space="preserve">will be ineffective as intervention </w:t>
      </w:r>
      <w:r w:rsidRPr="3F050C90">
        <w:rPr>
          <w:color w:val="58626E" w:themeColor="text2"/>
          <w:sz w:val="20"/>
          <w:szCs w:val="20"/>
        </w:rPr>
        <w:t>must reflect the 7- to 10-year life cycle of London developments. Short-term windows risk creating "cliff-edge" effects that deter rather than encourage long-term investment.</w:t>
      </w:r>
      <w:r w:rsidR="00A277CA">
        <w:rPr>
          <w:color w:val="58626E" w:themeColor="text2"/>
          <w:sz w:val="20"/>
          <w:szCs w:val="20"/>
        </w:rPr>
        <w:t xml:space="preserve"> We urge the GLA to extend these provisions to at least </w:t>
      </w:r>
      <w:r w:rsidR="000D1C1A">
        <w:rPr>
          <w:color w:val="58626E" w:themeColor="text2"/>
          <w:sz w:val="20"/>
          <w:szCs w:val="20"/>
        </w:rPr>
        <w:t>2033 to account for development timeframes.</w:t>
      </w:r>
    </w:p>
    <w:p w14:paraId="24CF394E" w14:textId="3DD8A77E" w:rsidR="00BE4B36" w:rsidRDefault="7A302D49" w:rsidP="00DD0B81">
      <w:pPr>
        <w:spacing w:before="240" w:after="240" w:line="240" w:lineRule="auto"/>
      </w:pPr>
      <w:r w:rsidRPr="3F050C90">
        <w:t>The BPF is committed to working with the GLA to ensure these measures provide the stability and incentive required to restore confidence in London's residential sector.</w:t>
      </w:r>
      <w:r w:rsidR="00345D96">
        <w:t xml:space="preserve"> This is needed </w:t>
      </w:r>
      <w:r w:rsidR="007129C3">
        <w:t>for the benefit of the many Londoners in increasing need of better housing options across the tenure spectrum</w:t>
      </w:r>
      <w:r w:rsidR="0013617D">
        <w:t xml:space="preserve">, and we are keen to assist the Mayor’s office </w:t>
      </w:r>
      <w:r w:rsidR="00D41F50">
        <w:t xml:space="preserve">not only </w:t>
      </w:r>
      <w:r w:rsidR="005C3D93">
        <w:t xml:space="preserve">through this </w:t>
      </w:r>
      <w:r w:rsidR="00D41F50">
        <w:t xml:space="preserve">consultation </w:t>
      </w:r>
      <w:r w:rsidR="005C3D93">
        <w:t xml:space="preserve">response </w:t>
      </w:r>
      <w:r w:rsidR="00D41F50">
        <w:t>but through</w:t>
      </w:r>
      <w:r w:rsidR="005C3D93">
        <w:t xml:space="preserve"> </w:t>
      </w:r>
      <w:r w:rsidR="005C1E20">
        <w:t xml:space="preserve">collaboration into the future. </w:t>
      </w:r>
    </w:p>
    <w:p w14:paraId="3C41D4C7" w14:textId="77777777" w:rsidR="00DD0B81" w:rsidRDefault="00DD0B81" w:rsidP="00DD0B81">
      <w:pPr>
        <w:spacing w:before="240" w:after="240" w:line="240" w:lineRule="auto"/>
      </w:pPr>
    </w:p>
    <w:p w14:paraId="2EEF9084" w14:textId="77777777" w:rsidR="00DD0B81" w:rsidRDefault="00DD0B81" w:rsidP="00DD0B81">
      <w:pPr>
        <w:spacing w:before="240" w:after="240" w:line="240" w:lineRule="auto"/>
      </w:pPr>
    </w:p>
    <w:p w14:paraId="161F7CC5" w14:textId="77777777" w:rsidR="00DD0B81" w:rsidRDefault="00DD0B81" w:rsidP="00DD0B81">
      <w:pPr>
        <w:spacing w:before="240" w:after="240" w:line="240" w:lineRule="auto"/>
      </w:pPr>
    </w:p>
    <w:p w14:paraId="03BAF150" w14:textId="77777777" w:rsidR="00DD0B81" w:rsidRDefault="00DD0B81" w:rsidP="00DD0B81">
      <w:pPr>
        <w:spacing w:before="240" w:after="240" w:line="240" w:lineRule="auto"/>
      </w:pPr>
    </w:p>
    <w:p w14:paraId="007F2754" w14:textId="47285B8B" w:rsidR="00BE4B36" w:rsidRDefault="651323B9" w:rsidP="11CCFFCF">
      <w:pPr>
        <w:pStyle w:val="Heading3"/>
      </w:pPr>
      <w:r>
        <w:lastRenderedPageBreak/>
        <w:t>Responses to consultation questions</w:t>
      </w:r>
    </w:p>
    <w:p w14:paraId="6D2BF515" w14:textId="77777777" w:rsidR="00E16991" w:rsidRDefault="00E16991" w:rsidP="00E16991">
      <w:pPr>
        <w:pStyle w:val="Introductiontext"/>
      </w:pPr>
      <w:r>
        <w:t xml:space="preserve"> </w:t>
      </w:r>
      <w:r>
        <w:rPr>
          <w:rStyle w:val="normaltextrun"/>
          <w:rFonts w:ascii="Open Sans ExtraBold" w:hAnsi="Open Sans ExtraBold" w:cs="Open Sans ExtraBold"/>
          <w:color w:val="198ECA"/>
          <w:sz w:val="20"/>
        </w:rPr>
        <w:t>SECTION 3</w:t>
      </w:r>
      <w:r>
        <w:rPr>
          <w:rStyle w:val="tabchar"/>
          <w:rFonts w:ascii="Calibri" w:hAnsi="Calibri" w:cs="Calibri"/>
          <w:color w:val="198ECA"/>
          <w:sz w:val="20"/>
        </w:rPr>
        <w:tab/>
      </w:r>
      <w:r>
        <w:t>Changes to housing design standards</w:t>
      </w:r>
    </w:p>
    <w:p w14:paraId="4A660ABC" w14:textId="77777777" w:rsidR="00E16991" w:rsidRDefault="00E16991" w:rsidP="00E16991">
      <w:pPr>
        <w:pStyle w:val="Introductiontext"/>
      </w:pPr>
    </w:p>
    <w:p w14:paraId="47B69B8C" w14:textId="77777777" w:rsidR="00E16991" w:rsidRDefault="00E16991" w:rsidP="00087E03">
      <w:pPr>
        <w:pStyle w:val="Introductiontext"/>
        <w:ind w:left="720" w:firstLine="720"/>
      </w:pPr>
      <w:r>
        <w:t>3.1.4 Reduce Minimum Cycle Parking Requirements (Policy T5)</w:t>
      </w:r>
    </w:p>
    <w:p w14:paraId="1FA077CB" w14:textId="437A2E1D" w:rsidR="00E16991" w:rsidRPr="00C72A1C" w:rsidRDefault="00E16991" w:rsidP="00E16991">
      <w:pPr>
        <w:pStyle w:val="paragraph"/>
        <w:spacing w:before="0" w:beforeAutospacing="0" w:after="0" w:afterAutospacing="0"/>
        <w:ind w:left="1540" w:hanging="1540"/>
        <w:textAlignment w:val="baseline"/>
        <w:rPr>
          <w:rFonts w:ascii="Open Sans Light" w:hAnsi="Open Sans Light" w:cs="Open Sans Light"/>
          <w:color w:val="198ECA"/>
        </w:rPr>
      </w:pPr>
    </w:p>
    <w:p w14:paraId="4B76F5DC" w14:textId="77777777" w:rsidR="00E16991" w:rsidRDefault="00E16991" w:rsidP="00087E03">
      <w:pPr>
        <w:spacing w:before="240" w:after="240"/>
        <w:ind w:left="1440"/>
      </w:pPr>
      <w:r w:rsidRPr="3F050C90">
        <w:t>The BPF broadly supports the proposal to introduce temporary reductions in minimum cycle parking requirements for residential, student and shared living developments, particularly where this is targeted to boroughs with lower existing cycling levels.</w:t>
      </w:r>
    </w:p>
    <w:p w14:paraId="2DC2CBB8" w14:textId="063E9A8A" w:rsidR="00E16991" w:rsidRDefault="00E16991" w:rsidP="00087E03">
      <w:pPr>
        <w:spacing w:before="240" w:after="240"/>
        <w:ind w:left="1440"/>
      </w:pPr>
      <w:r w:rsidRPr="3F050C90">
        <w:t xml:space="preserve">Members report that cycle parking requirements can impose disproportionate costs and space inefficiencies, particularly on high-density schemes such as </w:t>
      </w:r>
      <w:r>
        <w:t>Purpose-Built Student Accommodation (</w:t>
      </w:r>
      <w:r w:rsidRPr="3F050C90">
        <w:t>PBSA</w:t>
      </w:r>
      <w:r>
        <w:t>)</w:t>
      </w:r>
      <w:r w:rsidRPr="3F050C90">
        <w:t>, Build to Rent</w:t>
      </w:r>
      <w:r>
        <w:t xml:space="preserve"> (BtR)</w:t>
      </w:r>
      <w:r w:rsidRPr="3F050C90">
        <w:t xml:space="preserve"> and Co-</w:t>
      </w:r>
      <w:r w:rsidR="004F2F42">
        <w:t>L</w:t>
      </w:r>
      <w:r w:rsidRPr="3F050C90">
        <w:t>iving, where basement space is expensive to deliver and often constrained by ground conditions, utilities or fire safety requirements. In many cases, the viability impact of cycle parking is greater than its transport or behavioural benefit.</w:t>
      </w:r>
    </w:p>
    <w:p w14:paraId="250E20AC" w14:textId="77777777" w:rsidR="00E16991" w:rsidRDefault="00E16991" w:rsidP="00087E03">
      <w:pPr>
        <w:spacing w:before="240" w:after="240"/>
        <w:ind w:left="1440"/>
      </w:pPr>
      <w:r w:rsidRPr="3F050C90">
        <w:t>Evidence from members suggests that reducing cycle parking standards is unlikely to materially change travel behaviour, especially where alternatives such as public transport, walking, car clubs and micromobility options (including shared e-bikes and e-scooters) are readily available. Occupancy data also indicates that cycle parking is often underutilised, particularly in student and shared living schemes, where residents frequently rely on shared mobility rather than privately owned bicycles.</w:t>
      </w:r>
    </w:p>
    <w:p w14:paraId="16E786DD" w14:textId="2A081D42" w:rsidR="420D52C7" w:rsidRDefault="00E16991" w:rsidP="00087E03">
      <w:pPr>
        <w:ind w:left="1440"/>
      </w:pPr>
      <w:r w:rsidRPr="3F050C90">
        <w:t>The BPF therefore supports a borough-specific and evidence-led approach, with larger reductions in areas where cycling mode share remains low. This approach strikes an appropriate balance between supporting sustainable transport objectives and recognising the urgent need to improve scheme viability and unlock stalled development</w:t>
      </w:r>
    </w:p>
    <w:p w14:paraId="7AEE8F39" w14:textId="77777777" w:rsidR="00E16991" w:rsidRDefault="00E16991" w:rsidP="00E16991"/>
    <w:p w14:paraId="1FBFAD5C" w14:textId="051571F3" w:rsidR="00E16991" w:rsidRDefault="00E16991" w:rsidP="00087E03">
      <w:pPr>
        <w:pStyle w:val="Introductiontext"/>
        <w:ind w:left="720" w:firstLine="720"/>
      </w:pPr>
      <w:r>
        <w:t>3.1 Increase Flexibility in Housing Design Standards</w:t>
      </w:r>
    </w:p>
    <w:p w14:paraId="5AD82708" w14:textId="77777777" w:rsidR="00E16991" w:rsidRDefault="00E16991" w:rsidP="00E16991"/>
    <w:p w14:paraId="5000644C" w14:textId="116EA24E" w:rsidR="00E16991" w:rsidRDefault="00E16991" w:rsidP="00087E03">
      <w:pPr>
        <w:pStyle w:val="BodyText"/>
        <w:ind w:left="1440"/>
        <w:rPr>
          <w:sz w:val="20"/>
          <w:szCs w:val="20"/>
        </w:rPr>
      </w:pPr>
      <w:r w:rsidRPr="3F050C90">
        <w:rPr>
          <w:sz w:val="20"/>
          <w:szCs w:val="20"/>
        </w:rPr>
        <w:t xml:space="preserve">The BPF welcomes the proposed temporary relaxation of specific prescriptive design standards within the 2023 Housing Design Standards LPG, and supports the </w:t>
      </w:r>
      <w:r w:rsidR="007C4A9C">
        <w:rPr>
          <w:sz w:val="20"/>
          <w:szCs w:val="20"/>
        </w:rPr>
        <w:t>Mayor</w:t>
      </w:r>
      <w:r w:rsidRPr="3F050C90">
        <w:rPr>
          <w:sz w:val="20"/>
          <w:szCs w:val="20"/>
        </w:rPr>
        <w:t>’s recognition that over-prescriptive standards can undermine viability without necessarily improving outcomes.</w:t>
      </w:r>
    </w:p>
    <w:p w14:paraId="3A14986B" w14:textId="77777777" w:rsidR="00E16991" w:rsidRDefault="00E16991" w:rsidP="00087E03">
      <w:pPr>
        <w:pStyle w:val="BodyText"/>
        <w:ind w:left="1440"/>
        <w:rPr>
          <w:sz w:val="20"/>
          <w:szCs w:val="20"/>
        </w:rPr>
      </w:pPr>
    </w:p>
    <w:p w14:paraId="43280E6C" w14:textId="77777777" w:rsidR="00E16991" w:rsidRDefault="00E16991" w:rsidP="00087E03">
      <w:pPr>
        <w:pStyle w:val="BodyText"/>
        <w:ind w:left="1440"/>
        <w:rPr>
          <w:sz w:val="20"/>
          <w:szCs w:val="20"/>
        </w:rPr>
      </w:pPr>
      <w:r w:rsidRPr="3F050C90">
        <w:rPr>
          <w:sz w:val="20"/>
          <w:szCs w:val="20"/>
        </w:rPr>
        <w:t>Removing the requirement that single-aspect homes should only be permitted in “exceptional circumstances” is a pragmatic and proportionate response to current viability challenges. Members report that the dual-aspect requirement can significantly constrain site layouts, reduce net-to-gross efficiency, and limit the ability to deliver compact, well-designed homes on constrained urban sites.</w:t>
      </w:r>
    </w:p>
    <w:p w14:paraId="72BE1EFF" w14:textId="77777777" w:rsidR="00E16991" w:rsidRDefault="00E16991" w:rsidP="00087E03">
      <w:pPr>
        <w:pStyle w:val="BodyText"/>
        <w:ind w:left="1440"/>
        <w:rPr>
          <w:sz w:val="20"/>
          <w:szCs w:val="20"/>
        </w:rPr>
      </w:pPr>
    </w:p>
    <w:p w14:paraId="02B80DB5" w14:textId="77777777" w:rsidR="00E16991" w:rsidRDefault="00E16991" w:rsidP="00087E03">
      <w:pPr>
        <w:pStyle w:val="BodyText"/>
        <w:ind w:left="1440"/>
        <w:rPr>
          <w:sz w:val="20"/>
          <w:szCs w:val="20"/>
        </w:rPr>
      </w:pPr>
      <w:r w:rsidRPr="3F050C90">
        <w:rPr>
          <w:sz w:val="20"/>
          <w:szCs w:val="20"/>
        </w:rPr>
        <w:lastRenderedPageBreak/>
        <w:t>Allowing a greater proportion of single-aspect homes, where they are well designed, appropriately oriented and meet daylight and ventilation standards, will support more efficient block layouts and improve deliverability, particularly on smaller or irregular sites.</w:t>
      </w:r>
    </w:p>
    <w:p w14:paraId="69F28FF9" w14:textId="77777777" w:rsidR="00E16991" w:rsidRDefault="00E16991" w:rsidP="00087E03">
      <w:pPr>
        <w:pStyle w:val="BodyText"/>
        <w:ind w:left="1440"/>
        <w:rPr>
          <w:sz w:val="20"/>
          <w:szCs w:val="20"/>
        </w:rPr>
      </w:pPr>
    </w:p>
    <w:p w14:paraId="198A3EA5" w14:textId="77777777" w:rsidR="00E16991" w:rsidRDefault="00E16991" w:rsidP="00087E03">
      <w:pPr>
        <w:pStyle w:val="BodyText"/>
        <w:ind w:left="1440"/>
        <w:rPr>
          <w:sz w:val="20"/>
          <w:szCs w:val="20"/>
        </w:rPr>
      </w:pPr>
      <w:r w:rsidRPr="3F050C90">
        <w:rPr>
          <w:sz w:val="20"/>
          <w:szCs w:val="20"/>
        </w:rPr>
        <w:t>The BPF also supports the removal of the cap on the number of dwellings per core per floor. This standard can drive unnecessary construction costs through additional cores, lifts and staircases, with limited corresponding benefit to residents.</w:t>
      </w:r>
    </w:p>
    <w:p w14:paraId="6791FBBB" w14:textId="77777777" w:rsidR="00E16991" w:rsidRDefault="00E16991" w:rsidP="00087E03">
      <w:pPr>
        <w:pStyle w:val="BodyText"/>
        <w:ind w:left="1440"/>
        <w:rPr>
          <w:sz w:val="20"/>
          <w:szCs w:val="20"/>
        </w:rPr>
      </w:pPr>
    </w:p>
    <w:p w14:paraId="66733330" w14:textId="77777777" w:rsidR="00E16991" w:rsidRDefault="00E16991" w:rsidP="00087E03">
      <w:pPr>
        <w:pStyle w:val="BodyText"/>
        <w:ind w:left="1440"/>
        <w:rPr>
          <w:sz w:val="20"/>
          <w:szCs w:val="20"/>
        </w:rPr>
      </w:pPr>
      <w:r>
        <w:rPr>
          <w:sz w:val="20"/>
          <w:szCs w:val="20"/>
        </w:rPr>
        <w:t>Indeed, in managed buildings such as BtR, removal of this constraint benefits residents through improved and more equitable access to different parts of the building such as shared amenity spaces, without needing to exit the building via one core and re-entering to access a different core, for example. This flexibility also benefits the efficiency and effectiveness of routine maintenance, whether with regard to routine cleaning or safety checks in communal areas, such as lighting and fire alarm systems.</w:t>
      </w:r>
    </w:p>
    <w:p w14:paraId="6C7F94BF" w14:textId="77777777" w:rsidR="00E16991" w:rsidRDefault="00E16991" w:rsidP="00087E03">
      <w:pPr>
        <w:pStyle w:val="BodyText"/>
        <w:ind w:left="1440"/>
        <w:rPr>
          <w:sz w:val="20"/>
          <w:szCs w:val="20"/>
        </w:rPr>
      </w:pPr>
    </w:p>
    <w:p w14:paraId="757A5B32" w14:textId="77777777" w:rsidR="00E16991" w:rsidRDefault="00E16991" w:rsidP="00087E03">
      <w:pPr>
        <w:pStyle w:val="BodyText"/>
        <w:ind w:left="1440"/>
        <w:rPr>
          <w:sz w:val="20"/>
          <w:szCs w:val="20"/>
        </w:rPr>
      </w:pPr>
      <w:r w:rsidRPr="3F050C90">
        <w:rPr>
          <w:sz w:val="20"/>
          <w:szCs w:val="20"/>
        </w:rPr>
        <w:t>Greater flexibility in this area will:</w:t>
      </w:r>
    </w:p>
    <w:p w14:paraId="72097816" w14:textId="77777777" w:rsidR="00E16991" w:rsidRDefault="00E16991" w:rsidP="00087E03">
      <w:pPr>
        <w:pStyle w:val="BodyText"/>
        <w:numPr>
          <w:ilvl w:val="0"/>
          <w:numId w:val="2"/>
        </w:numPr>
        <w:ind w:left="2160"/>
        <w:rPr>
          <w:sz w:val="20"/>
          <w:szCs w:val="20"/>
        </w:rPr>
      </w:pPr>
      <w:r w:rsidRPr="3F050C90">
        <w:rPr>
          <w:sz w:val="20"/>
          <w:szCs w:val="20"/>
        </w:rPr>
        <w:t>Improve development efficiency;</w:t>
      </w:r>
    </w:p>
    <w:p w14:paraId="7050C59F" w14:textId="77777777" w:rsidR="00E16991" w:rsidRDefault="00E16991" w:rsidP="00087E03">
      <w:pPr>
        <w:pStyle w:val="BodyText"/>
        <w:numPr>
          <w:ilvl w:val="0"/>
          <w:numId w:val="2"/>
        </w:numPr>
        <w:ind w:left="2160"/>
        <w:rPr>
          <w:sz w:val="20"/>
          <w:szCs w:val="20"/>
        </w:rPr>
      </w:pPr>
      <w:r w:rsidRPr="3F050C90">
        <w:rPr>
          <w:sz w:val="20"/>
          <w:szCs w:val="20"/>
        </w:rPr>
        <w:t>Reduce build costs;</w:t>
      </w:r>
    </w:p>
    <w:p w14:paraId="65BA58AC" w14:textId="77777777" w:rsidR="00E16991" w:rsidRDefault="00E16991" w:rsidP="00087E03">
      <w:pPr>
        <w:pStyle w:val="BodyText"/>
        <w:numPr>
          <w:ilvl w:val="0"/>
          <w:numId w:val="2"/>
        </w:numPr>
        <w:ind w:left="2160"/>
        <w:rPr>
          <w:sz w:val="20"/>
          <w:szCs w:val="20"/>
        </w:rPr>
      </w:pPr>
      <w:r>
        <w:rPr>
          <w:sz w:val="20"/>
          <w:szCs w:val="20"/>
        </w:rPr>
        <w:t>Increase the efficiency of management and maintenance operations;</w:t>
      </w:r>
    </w:p>
    <w:p w14:paraId="38E8BEB0" w14:textId="77777777" w:rsidR="00E16991" w:rsidRDefault="00E16991" w:rsidP="00087E03">
      <w:pPr>
        <w:pStyle w:val="BodyText"/>
        <w:numPr>
          <w:ilvl w:val="0"/>
          <w:numId w:val="2"/>
        </w:numPr>
        <w:ind w:left="2160"/>
        <w:rPr>
          <w:sz w:val="20"/>
          <w:szCs w:val="20"/>
        </w:rPr>
      </w:pPr>
      <w:r>
        <w:rPr>
          <w:sz w:val="20"/>
          <w:szCs w:val="20"/>
        </w:rPr>
        <w:t>Improve resident access within the building;</w:t>
      </w:r>
    </w:p>
    <w:p w14:paraId="53E8379C" w14:textId="77777777" w:rsidR="00E16991" w:rsidRDefault="00E16991" w:rsidP="00087E03">
      <w:pPr>
        <w:pStyle w:val="BodyText"/>
        <w:numPr>
          <w:ilvl w:val="0"/>
          <w:numId w:val="2"/>
        </w:numPr>
        <w:ind w:left="2160"/>
        <w:rPr>
          <w:sz w:val="20"/>
          <w:szCs w:val="20"/>
        </w:rPr>
      </w:pPr>
      <w:r>
        <w:rPr>
          <w:sz w:val="20"/>
          <w:szCs w:val="20"/>
        </w:rPr>
        <w:t>Improve energy efficiency, through removing the potential need for deck access;</w:t>
      </w:r>
    </w:p>
    <w:p w14:paraId="0EAA3511" w14:textId="77777777" w:rsidR="00E16991" w:rsidRDefault="00E16991" w:rsidP="00087E03">
      <w:pPr>
        <w:pStyle w:val="BodyText"/>
        <w:numPr>
          <w:ilvl w:val="0"/>
          <w:numId w:val="2"/>
        </w:numPr>
        <w:ind w:left="2160"/>
        <w:rPr>
          <w:sz w:val="20"/>
          <w:szCs w:val="20"/>
        </w:rPr>
      </w:pPr>
      <w:r w:rsidRPr="3F050C90">
        <w:rPr>
          <w:sz w:val="20"/>
          <w:szCs w:val="20"/>
        </w:rPr>
        <w:t>Support higher densities in accessible locations; and</w:t>
      </w:r>
    </w:p>
    <w:p w14:paraId="32C2750A" w14:textId="77777777" w:rsidR="00E16991" w:rsidRDefault="00E16991" w:rsidP="00087E03">
      <w:pPr>
        <w:pStyle w:val="BodyText"/>
        <w:numPr>
          <w:ilvl w:val="0"/>
          <w:numId w:val="2"/>
        </w:numPr>
        <w:ind w:left="2160"/>
        <w:rPr>
          <w:sz w:val="20"/>
          <w:szCs w:val="20"/>
        </w:rPr>
      </w:pPr>
      <w:r w:rsidRPr="3F050C90">
        <w:rPr>
          <w:sz w:val="20"/>
          <w:szCs w:val="20"/>
        </w:rPr>
        <w:t>Help close viability gaps on marginal schemes.</w:t>
      </w:r>
    </w:p>
    <w:p w14:paraId="6910CC62" w14:textId="77777777" w:rsidR="00E16991" w:rsidRDefault="00E16991" w:rsidP="00087E03">
      <w:pPr>
        <w:pStyle w:val="BodyText"/>
        <w:ind w:left="1440"/>
        <w:rPr>
          <w:sz w:val="20"/>
          <w:szCs w:val="20"/>
        </w:rPr>
      </w:pPr>
    </w:p>
    <w:p w14:paraId="447DBDF1" w14:textId="77777777" w:rsidR="00E16991" w:rsidRDefault="00E16991" w:rsidP="00087E03">
      <w:pPr>
        <w:pStyle w:val="BodyText"/>
        <w:ind w:left="1440"/>
        <w:rPr>
          <w:sz w:val="20"/>
          <w:szCs w:val="20"/>
        </w:rPr>
      </w:pPr>
      <w:r w:rsidRPr="3F050C90">
        <w:rPr>
          <w:sz w:val="20"/>
          <w:szCs w:val="20"/>
        </w:rPr>
        <w:t>Members emphasise that design standards should continue to be applied through guidance and professional judgement, rather than rigid numerical limits. The proposed flexibility enables local authorities to secure good design outcomes while responding to site-specific circumstances and market conditions.</w:t>
      </w:r>
    </w:p>
    <w:p w14:paraId="26ECA76F" w14:textId="77777777" w:rsidR="00E16991" w:rsidRDefault="00E16991" w:rsidP="00087E03">
      <w:pPr>
        <w:pStyle w:val="BodyText"/>
        <w:ind w:left="1440"/>
        <w:rPr>
          <w:sz w:val="20"/>
          <w:szCs w:val="20"/>
        </w:rPr>
      </w:pPr>
    </w:p>
    <w:p w14:paraId="3A604273" w14:textId="5FE021D7" w:rsidR="00E16991" w:rsidRDefault="00E16991" w:rsidP="00087E03">
      <w:pPr>
        <w:ind w:left="1440"/>
      </w:pPr>
      <w:r>
        <w:t>It is also important to note that many London boroughs have transposed London Plan Guidance standards, with mandatory application of dual aspect and minimum core requirements, into their local plans. We therefore urge the GLA to make these interventions mandatory across boroughs to ensure they have the desired outcomes.</w:t>
      </w:r>
    </w:p>
    <w:p w14:paraId="64D951E2" w14:textId="77777777" w:rsidR="00087E03" w:rsidRDefault="00087E03" w:rsidP="00E16991"/>
    <w:p w14:paraId="7B473D6E" w14:textId="77777777" w:rsidR="00E16991" w:rsidRDefault="00E16991" w:rsidP="00E16991"/>
    <w:p w14:paraId="6A5BBC01" w14:textId="3974D543" w:rsidR="00E16991" w:rsidRDefault="00087E03" w:rsidP="00087E03">
      <w:pPr>
        <w:pStyle w:val="Introductiontext"/>
      </w:pPr>
      <w:r w:rsidRPr="00087E03">
        <w:rPr>
          <w:rStyle w:val="Heading6Char"/>
          <w:color w:val="198ECA" w:themeColor="accent1"/>
        </w:rPr>
        <w:t>SECTION 4</w:t>
      </w:r>
      <w:r w:rsidRPr="00087E03">
        <w:t xml:space="preserve"> </w:t>
      </w:r>
      <w:r>
        <w:t xml:space="preserve">       </w:t>
      </w:r>
      <w:r w:rsidR="00E16991">
        <w:t>Introduce a Temporary Third Affordable Housing Route</w:t>
      </w:r>
    </w:p>
    <w:p w14:paraId="75817126" w14:textId="77777777" w:rsidR="00E16991" w:rsidRDefault="00E16991" w:rsidP="00E16991"/>
    <w:p w14:paraId="13D7952F" w14:textId="77777777" w:rsidR="00E2602F" w:rsidRDefault="00E2602F" w:rsidP="00E2602F">
      <w:pPr>
        <w:pStyle w:val="BodyText"/>
        <w:ind w:left="1440"/>
        <w:rPr>
          <w:rFonts w:ascii="Open Sans Light" w:hAnsi="Open Sans Light"/>
          <w:sz w:val="20"/>
          <w:szCs w:val="20"/>
        </w:rPr>
      </w:pPr>
      <w:r w:rsidRPr="3F050C90">
        <w:rPr>
          <w:rFonts w:ascii="Open Sans Light" w:hAnsi="Open Sans Light"/>
          <w:sz w:val="20"/>
          <w:szCs w:val="20"/>
        </w:rPr>
        <w:t>The BPF welcomes the introduction of a new, temporary affordable housing route, recognising the acute viability pressures currently facing residential development in London and the urgent need to unlock stalled schemes.</w:t>
      </w:r>
    </w:p>
    <w:p w14:paraId="5082E817" w14:textId="77777777" w:rsidR="00E2602F" w:rsidRDefault="00E2602F" w:rsidP="00E2602F">
      <w:pPr>
        <w:pStyle w:val="BodyText"/>
        <w:ind w:left="1440"/>
        <w:rPr>
          <w:rFonts w:ascii="Open Sans Light" w:hAnsi="Open Sans Light"/>
          <w:sz w:val="20"/>
          <w:szCs w:val="20"/>
        </w:rPr>
      </w:pPr>
    </w:p>
    <w:p w14:paraId="490EA727" w14:textId="77777777" w:rsidR="00E2602F" w:rsidRDefault="00E2602F" w:rsidP="00E2602F">
      <w:pPr>
        <w:pStyle w:val="BodyText"/>
        <w:ind w:left="1440"/>
        <w:rPr>
          <w:rFonts w:ascii="Open Sans Light" w:hAnsi="Open Sans Light"/>
          <w:sz w:val="20"/>
          <w:szCs w:val="20"/>
        </w:rPr>
      </w:pPr>
      <w:r w:rsidRPr="3F050C90">
        <w:rPr>
          <w:rFonts w:ascii="Open Sans Light" w:hAnsi="Open Sans Light"/>
          <w:sz w:val="20"/>
          <w:szCs w:val="20"/>
        </w:rPr>
        <w:t xml:space="preserve">Lowering upfront affordable housing requirements, alongside removing the need for full viability testing, has the potential to bring forward development that would otherwise remain unviable in the short to medium term. The acknowledgement that existing Fast </w:t>
      </w:r>
      <w:r w:rsidRPr="3F050C90">
        <w:rPr>
          <w:rFonts w:ascii="Open Sans Light" w:hAnsi="Open Sans Light"/>
          <w:sz w:val="20"/>
          <w:szCs w:val="20"/>
        </w:rPr>
        <w:lastRenderedPageBreak/>
        <w:t>Track and Viability Tested routes are not functioning effectively in the current market is particularly welcome.</w:t>
      </w:r>
    </w:p>
    <w:p w14:paraId="522F531E" w14:textId="77777777" w:rsidR="00E2602F" w:rsidRDefault="00E2602F" w:rsidP="00E2602F">
      <w:pPr>
        <w:pStyle w:val="BodyText"/>
        <w:ind w:left="1440"/>
        <w:rPr>
          <w:rFonts w:ascii="Open Sans Light" w:hAnsi="Open Sans Light"/>
          <w:sz w:val="20"/>
          <w:szCs w:val="20"/>
        </w:rPr>
      </w:pPr>
    </w:p>
    <w:p w14:paraId="7C947877" w14:textId="77777777" w:rsidR="00E2602F" w:rsidRDefault="00E2602F" w:rsidP="00E2602F">
      <w:pPr>
        <w:pStyle w:val="BodyText"/>
        <w:ind w:left="1440"/>
        <w:rPr>
          <w:rFonts w:ascii="Open Sans Light" w:hAnsi="Open Sans Light"/>
          <w:sz w:val="20"/>
          <w:szCs w:val="20"/>
        </w:rPr>
      </w:pPr>
      <w:r w:rsidRPr="3F050C90">
        <w:rPr>
          <w:rFonts w:ascii="Open Sans Light" w:hAnsi="Open Sans Light"/>
          <w:sz w:val="20"/>
          <w:szCs w:val="20"/>
        </w:rPr>
        <w:t>However, the BPF has several concerns about the effectiveness of the proposal as currently framed:</w:t>
      </w:r>
    </w:p>
    <w:p w14:paraId="66DE73E0" w14:textId="0B03F5DC" w:rsidR="00E2602F" w:rsidRDefault="00E2602F" w:rsidP="00E2602F">
      <w:pPr>
        <w:pStyle w:val="BodyText"/>
        <w:numPr>
          <w:ilvl w:val="0"/>
          <w:numId w:val="4"/>
        </w:numPr>
        <w:ind w:left="2160"/>
        <w:rPr>
          <w:rFonts w:ascii="Open Sans Light" w:hAnsi="Open Sans Light"/>
          <w:sz w:val="20"/>
          <w:szCs w:val="20"/>
        </w:rPr>
      </w:pPr>
      <w:r w:rsidRPr="3F050C90">
        <w:rPr>
          <w:rFonts w:ascii="Open Sans Light" w:hAnsi="Open Sans Light"/>
          <w:sz w:val="20"/>
          <w:szCs w:val="20"/>
        </w:rPr>
        <w:t>Time limitation: Restricting the route to the period before adoption of the next London Plan does not reflect the realities of development timelines. Larger or more complex schemes are unlikely to progress through planning, financing and procurement within this window, limiting the route’s impact.</w:t>
      </w:r>
      <w:r>
        <w:rPr>
          <w:rFonts w:ascii="Open Sans Light" w:hAnsi="Open Sans Light"/>
          <w:sz w:val="20"/>
          <w:szCs w:val="20"/>
        </w:rPr>
        <w:t xml:space="preserve"> </w:t>
      </w:r>
      <w:r w:rsidRPr="3F050C90">
        <w:rPr>
          <w:rFonts w:ascii="Open Sans Light" w:hAnsi="Open Sans Light"/>
          <w:sz w:val="20"/>
          <w:szCs w:val="20"/>
        </w:rPr>
        <w:t>.</w:t>
      </w:r>
      <w:r>
        <w:rPr>
          <w:rFonts w:ascii="Open Sans Light" w:hAnsi="Open Sans Light"/>
          <w:sz w:val="20"/>
          <w:szCs w:val="20"/>
        </w:rPr>
        <w:t xml:space="preserve"> Additionally, requiring the completion of the first floor of buildings prior to 31 March 20230 is more complex for large schemes. </w:t>
      </w:r>
      <w:r w:rsidRPr="00556299">
        <w:rPr>
          <w:rFonts w:ascii="Open Sans Light" w:hAnsi="Open Sans Light"/>
          <w:sz w:val="20"/>
          <w:szCs w:val="20"/>
        </w:rPr>
        <w:t>Flexibility, discretion and recognition of the need to treat multi-phased larger schemes differently is vital to ensure this actually works as intended.</w:t>
      </w:r>
    </w:p>
    <w:p w14:paraId="3FE6353E" w14:textId="487EEA69" w:rsidR="00FC57C1" w:rsidRPr="00FC57C1" w:rsidRDefault="00FC57C1" w:rsidP="00FC57C1">
      <w:pPr>
        <w:pStyle w:val="BodyText"/>
        <w:numPr>
          <w:ilvl w:val="0"/>
          <w:numId w:val="4"/>
        </w:numPr>
        <w:ind w:left="2160"/>
        <w:rPr>
          <w:rFonts w:ascii="Open Sans Light" w:hAnsi="Open Sans Light"/>
          <w:sz w:val="20"/>
          <w:szCs w:val="20"/>
        </w:rPr>
      </w:pPr>
      <w:r>
        <w:rPr>
          <w:rFonts w:ascii="Open Sans Light" w:hAnsi="Open Sans Light"/>
          <w:sz w:val="20"/>
          <w:szCs w:val="20"/>
        </w:rPr>
        <w:t>Restrictions of PBSA and co-living:</w:t>
      </w:r>
      <w:r>
        <w:rPr>
          <w:rFonts w:ascii="Open Sans Light" w:hAnsi="Open Sans Light"/>
          <w:sz w:val="20"/>
          <w:szCs w:val="20"/>
        </w:rPr>
        <w:t xml:space="preserve"> We urge the GLA to extend th</w:t>
      </w:r>
      <w:r w:rsidR="004B0B77">
        <w:rPr>
          <w:rFonts w:ascii="Open Sans Light" w:hAnsi="Open Sans Light"/>
          <w:sz w:val="20"/>
          <w:szCs w:val="20"/>
        </w:rPr>
        <w:t>is intervention to include PBSA and Co-Living schemes</w:t>
      </w:r>
      <w:r w:rsidR="00FB2422">
        <w:rPr>
          <w:rFonts w:ascii="Open Sans Light" w:hAnsi="Open Sans Light"/>
          <w:sz w:val="20"/>
          <w:szCs w:val="20"/>
        </w:rPr>
        <w:t xml:space="preserve"> which contribute to the </w:t>
      </w:r>
      <w:r w:rsidR="00FB2422" w:rsidRPr="00C72A1C">
        <w:rPr>
          <w:rStyle w:val="normaltextrun"/>
          <w:rFonts w:ascii="Open Sans Light" w:hAnsi="Open Sans Light" w:cs="Open Sans Light"/>
          <w:color w:val="58626E"/>
          <w:sz w:val="20"/>
          <w:szCs w:val="20"/>
        </w:rPr>
        <w:t>diversity of modern residential delivery models.</w:t>
      </w:r>
      <w:r w:rsidR="00FB2422" w:rsidRPr="00E402BD">
        <w:t xml:space="preserve"> </w:t>
      </w:r>
      <w:r w:rsidR="00FB2422" w:rsidRPr="00E402BD">
        <w:rPr>
          <w:rStyle w:val="normaltextrun"/>
          <w:rFonts w:ascii="Open Sans Light" w:hAnsi="Open Sans Light" w:cs="Open Sans Light"/>
          <w:color w:val="58626E"/>
          <w:sz w:val="20"/>
          <w:szCs w:val="20"/>
        </w:rPr>
        <w:t>While applications and starts for co-living and purpose-built student accommodation (PBSA) have accelerated relative to traditional residential schemes, this should not be interpreted as evidence that all is well for these tenures</w:t>
      </w:r>
      <w:r w:rsidR="00FB2422">
        <w:rPr>
          <w:rStyle w:val="normaltextrun"/>
          <w:rFonts w:ascii="Open Sans Light" w:hAnsi="Open Sans Light" w:cs="Open Sans Light"/>
          <w:color w:val="58626E"/>
          <w:sz w:val="20"/>
          <w:szCs w:val="20"/>
        </w:rPr>
        <w:t>, or that there is any oversupply of these homes</w:t>
      </w:r>
      <w:r w:rsidR="00FB2422" w:rsidRPr="00E402BD">
        <w:rPr>
          <w:rStyle w:val="normaltextrun"/>
          <w:rFonts w:ascii="Open Sans Light" w:hAnsi="Open Sans Light" w:cs="Open Sans Light"/>
          <w:color w:val="58626E"/>
          <w:sz w:val="20"/>
          <w:szCs w:val="20"/>
        </w:rPr>
        <w:t>.</w:t>
      </w:r>
      <w:r w:rsidR="00FB2422" w:rsidRPr="00C72A1C">
        <w:rPr>
          <w:rStyle w:val="normaltextrun"/>
          <w:rFonts w:ascii="Open Sans Light" w:hAnsi="Open Sans Light" w:cs="Open Sans Light"/>
          <w:color w:val="58626E"/>
          <w:sz w:val="20"/>
          <w:szCs w:val="20"/>
        </w:rPr>
        <w:t xml:space="preserve"> Housing delivery</w:t>
      </w:r>
      <w:r w:rsidR="00FB2422">
        <w:rPr>
          <w:rStyle w:val="normaltextrun"/>
          <w:rFonts w:ascii="Open Sans Light" w:hAnsi="Open Sans Light" w:cs="Open Sans Light"/>
          <w:color w:val="58626E"/>
          <w:sz w:val="20"/>
          <w:szCs w:val="20"/>
        </w:rPr>
        <w:t xml:space="preserve"> and demand</w:t>
      </w:r>
      <w:r w:rsidR="00FB2422" w:rsidRPr="00C72A1C">
        <w:rPr>
          <w:rStyle w:val="normaltextrun"/>
          <w:rFonts w:ascii="Open Sans Light" w:hAnsi="Open Sans Light" w:cs="Open Sans Light"/>
          <w:color w:val="58626E"/>
          <w:sz w:val="20"/>
          <w:szCs w:val="20"/>
        </w:rPr>
        <w:t xml:space="preserve"> has evolved significantly, and models such as </w:t>
      </w:r>
      <w:r w:rsidR="001E15AB">
        <w:rPr>
          <w:rStyle w:val="normaltextrun"/>
          <w:rFonts w:ascii="Open Sans Light" w:hAnsi="Open Sans Light" w:cs="Open Sans Light"/>
          <w:color w:val="58626E"/>
          <w:sz w:val="20"/>
          <w:szCs w:val="20"/>
        </w:rPr>
        <w:t>C</w:t>
      </w:r>
      <w:r w:rsidR="00FB2422" w:rsidRPr="00C72A1C">
        <w:rPr>
          <w:rStyle w:val="normaltextrun"/>
          <w:rFonts w:ascii="Open Sans Light" w:hAnsi="Open Sans Light" w:cs="Open Sans Light"/>
          <w:color w:val="58626E"/>
          <w:sz w:val="20"/>
          <w:szCs w:val="20"/>
        </w:rPr>
        <w:t>o-</w:t>
      </w:r>
      <w:r w:rsidR="001E15AB">
        <w:rPr>
          <w:rStyle w:val="normaltextrun"/>
          <w:rFonts w:ascii="Open Sans Light" w:hAnsi="Open Sans Light" w:cs="Open Sans Light"/>
          <w:color w:val="58626E"/>
          <w:sz w:val="20"/>
          <w:szCs w:val="20"/>
        </w:rPr>
        <w:t>L</w:t>
      </w:r>
      <w:r w:rsidR="00FB2422" w:rsidRPr="00C72A1C">
        <w:rPr>
          <w:rStyle w:val="normaltextrun"/>
          <w:rFonts w:ascii="Open Sans Light" w:hAnsi="Open Sans Light" w:cs="Open Sans Light"/>
          <w:color w:val="58626E"/>
          <w:sz w:val="20"/>
          <w:szCs w:val="20"/>
        </w:rPr>
        <w:t xml:space="preserve">iving and </w:t>
      </w:r>
      <w:r w:rsidR="00FB2422">
        <w:rPr>
          <w:rStyle w:val="normaltextrun"/>
          <w:rFonts w:ascii="Open Sans Light" w:hAnsi="Open Sans Light" w:cs="Open Sans Light"/>
          <w:color w:val="58626E"/>
          <w:sz w:val="20"/>
          <w:szCs w:val="20"/>
        </w:rPr>
        <w:t xml:space="preserve">PBSA </w:t>
      </w:r>
      <w:r w:rsidR="00FB2422" w:rsidRPr="00C72A1C">
        <w:rPr>
          <w:rStyle w:val="normaltextrun"/>
          <w:rFonts w:ascii="Open Sans Light" w:hAnsi="Open Sans Light" w:cs="Open Sans Light"/>
          <w:color w:val="58626E"/>
          <w:sz w:val="20"/>
          <w:szCs w:val="20"/>
        </w:rPr>
        <w:t>now play an established role in meeting housing need, particularly in high-demand urban areas. These tenures should not be excluded by default, as they are integral to overall housing supply and are subject to many of the same viability pressures as more traditional forms of residential development.</w:t>
      </w:r>
    </w:p>
    <w:p w14:paraId="7F1041F2" w14:textId="77777777" w:rsidR="00E2602F" w:rsidRDefault="00E2602F" w:rsidP="00E2602F">
      <w:pPr>
        <w:pStyle w:val="BodyText"/>
        <w:numPr>
          <w:ilvl w:val="0"/>
          <w:numId w:val="4"/>
        </w:numPr>
        <w:ind w:left="2160"/>
        <w:rPr>
          <w:rFonts w:ascii="Open Sans Light" w:hAnsi="Open Sans Light"/>
          <w:sz w:val="20"/>
          <w:szCs w:val="20"/>
        </w:rPr>
      </w:pPr>
      <w:r>
        <w:rPr>
          <w:rFonts w:ascii="Open Sans Light" w:hAnsi="Open Sans Light"/>
          <w:sz w:val="20"/>
          <w:szCs w:val="20"/>
        </w:rPr>
        <w:t>Fast implementation needed: As well as the stated end-date, it would also be helpful to understand when this LPG is likely to be adopted. The consultation review period would need to be short to enable publication of the final LPG in advance of forthcoming local election periods, and there are likely to be periods for appointing or refreshing local planning committees following those elections. This will then be followed fairly closely by the summer holiday period, so it is possible to envisage reduced planning committee activity until the autumn, effectively almost a year after the original MHCLG / GLA announcement of this emergency package. As a consequence, the prospects for securing fresh planning consents with sufficient urgency appear slim.</w:t>
      </w:r>
    </w:p>
    <w:p w14:paraId="2DBEDE7F" w14:textId="77777777" w:rsidR="00E2602F" w:rsidRPr="00B6096A" w:rsidRDefault="00E2602F" w:rsidP="00E2602F">
      <w:pPr>
        <w:pStyle w:val="BodyText"/>
        <w:numPr>
          <w:ilvl w:val="0"/>
          <w:numId w:val="4"/>
        </w:numPr>
        <w:ind w:left="2160"/>
        <w:rPr>
          <w:rFonts w:ascii="Open Sans Light" w:hAnsi="Open Sans Light"/>
          <w:sz w:val="20"/>
          <w:szCs w:val="20"/>
        </w:rPr>
      </w:pPr>
      <w:r w:rsidRPr="00B6096A">
        <w:rPr>
          <w:rFonts w:ascii="Open Sans Light" w:hAnsi="Open Sans Light"/>
          <w:sz w:val="20"/>
          <w:szCs w:val="20"/>
        </w:rPr>
        <w:t>Lack of certainty for funders: The temporary nature of the route, combined with ongoing review mechanisms, does little to restore funder confidence. Certainty and stability are critical to unlocking investment.</w:t>
      </w:r>
    </w:p>
    <w:p w14:paraId="0E6A721A" w14:textId="77777777" w:rsidR="00E2602F" w:rsidRDefault="00E2602F" w:rsidP="00E2602F">
      <w:pPr>
        <w:pStyle w:val="BodyText"/>
        <w:numPr>
          <w:ilvl w:val="0"/>
          <w:numId w:val="4"/>
        </w:numPr>
        <w:ind w:left="2160"/>
        <w:rPr>
          <w:rFonts w:ascii="Open Sans Light" w:hAnsi="Open Sans Light"/>
          <w:sz w:val="20"/>
          <w:szCs w:val="20"/>
        </w:rPr>
      </w:pPr>
      <w:r>
        <w:rPr>
          <w:rFonts w:ascii="Open Sans Light" w:hAnsi="Open Sans Light"/>
          <w:sz w:val="20"/>
          <w:szCs w:val="20"/>
        </w:rPr>
        <w:t>Grant funding restrictions: Whilst additional availability of grant to support affordable housing within schemes is welcome, we must point out that this is only available where there is a Registered Provider (RP) to be eligible to accept such grant support. This measure is generally not available to BtR schemes which provide intermediate rent homes fully integrated within the development, rather than separating them for sale to an RP partner. This important factor should be recognised within the distinct economics of BtR when considering viability and perhaps also thresholds for Fast Track qualification for such schemes, in order to maintain a level playing field for these much needed homes to come forward for delivery.</w:t>
      </w:r>
    </w:p>
    <w:p w14:paraId="24A7F942" w14:textId="77777777" w:rsidR="00E2602F" w:rsidRDefault="00E2602F" w:rsidP="00E2602F">
      <w:pPr>
        <w:pStyle w:val="BodyText"/>
        <w:numPr>
          <w:ilvl w:val="0"/>
          <w:numId w:val="4"/>
        </w:numPr>
        <w:ind w:left="2160"/>
        <w:rPr>
          <w:rFonts w:ascii="Open Sans Light" w:hAnsi="Open Sans Light"/>
          <w:sz w:val="20"/>
          <w:szCs w:val="20"/>
        </w:rPr>
      </w:pPr>
      <w:r w:rsidRPr="3F050C90">
        <w:rPr>
          <w:rFonts w:ascii="Open Sans Light" w:hAnsi="Open Sans Light"/>
          <w:sz w:val="20"/>
          <w:szCs w:val="20"/>
        </w:rPr>
        <w:t xml:space="preserve">Limited impact on existing schemes: Many stalled schemes already have planning permission and face challenges in amending affordable housing requirements under current mechanisms. The proposals do not sufficiently address how schemes </w:t>
      </w:r>
      <w:r>
        <w:rPr>
          <w:rFonts w:ascii="Open Sans Light" w:hAnsi="Open Sans Light"/>
          <w:sz w:val="20"/>
          <w:szCs w:val="20"/>
        </w:rPr>
        <w:t xml:space="preserve">such as these </w:t>
      </w:r>
      <w:r w:rsidRPr="3F050C90">
        <w:rPr>
          <w:rFonts w:ascii="Open Sans Light" w:hAnsi="Open Sans Light"/>
          <w:sz w:val="20"/>
          <w:szCs w:val="20"/>
        </w:rPr>
        <w:t>can be unlocked quickly and efficiently</w:t>
      </w:r>
      <w:r>
        <w:rPr>
          <w:rFonts w:ascii="Open Sans Light" w:hAnsi="Open Sans Light"/>
          <w:sz w:val="20"/>
          <w:szCs w:val="20"/>
        </w:rPr>
        <w:t>. Given that such schemes are largely ‘oven ready’ but have simply stalled due to changed viability parameters, our view is that these would be the single best source of accelerated and additional housing delivery within the envisaged timeframes.</w:t>
      </w:r>
    </w:p>
    <w:p w14:paraId="5B121A17" w14:textId="77777777" w:rsidR="00E2602F" w:rsidRDefault="00E2602F" w:rsidP="00E2602F">
      <w:pPr>
        <w:pStyle w:val="BodyText"/>
        <w:ind w:left="2160"/>
        <w:rPr>
          <w:rFonts w:ascii="Open Sans Light" w:hAnsi="Open Sans Light"/>
          <w:sz w:val="20"/>
          <w:szCs w:val="20"/>
        </w:rPr>
      </w:pPr>
    </w:p>
    <w:p w14:paraId="607FB846" w14:textId="77777777" w:rsidR="00E2602F" w:rsidRDefault="00E2602F" w:rsidP="00E2602F">
      <w:pPr>
        <w:pStyle w:val="BodyText"/>
        <w:ind w:left="1440"/>
        <w:rPr>
          <w:rFonts w:ascii="Open Sans Light" w:hAnsi="Open Sans Light"/>
          <w:sz w:val="20"/>
          <w:szCs w:val="20"/>
        </w:rPr>
      </w:pPr>
      <w:r w:rsidRPr="3F050C90">
        <w:rPr>
          <w:rFonts w:ascii="Open Sans Light" w:hAnsi="Open Sans Light"/>
          <w:sz w:val="20"/>
          <w:szCs w:val="20"/>
        </w:rPr>
        <w:lastRenderedPageBreak/>
        <w:t>The BPF recommends that the GLA:</w:t>
      </w:r>
    </w:p>
    <w:p w14:paraId="1ECD400E" w14:textId="77777777" w:rsidR="00E2602F" w:rsidRDefault="00E2602F" w:rsidP="00E2602F">
      <w:pPr>
        <w:pStyle w:val="BodyText"/>
        <w:numPr>
          <w:ilvl w:val="0"/>
          <w:numId w:val="3"/>
        </w:numPr>
        <w:ind w:left="2160"/>
        <w:rPr>
          <w:rFonts w:ascii="Open Sans Light" w:hAnsi="Open Sans Light"/>
          <w:sz w:val="20"/>
          <w:szCs w:val="20"/>
        </w:rPr>
      </w:pPr>
      <w:r w:rsidRPr="3F050C90">
        <w:rPr>
          <w:rFonts w:ascii="Open Sans Light" w:hAnsi="Open Sans Light"/>
          <w:sz w:val="20"/>
          <w:szCs w:val="20"/>
        </w:rPr>
        <w:t xml:space="preserve">Extends the duration of the temporary route to </w:t>
      </w:r>
      <w:r>
        <w:rPr>
          <w:rFonts w:ascii="Open Sans Light" w:hAnsi="Open Sans Light"/>
          <w:sz w:val="20"/>
          <w:szCs w:val="20"/>
        </w:rPr>
        <w:t xml:space="preserve">at least 7 years to </w:t>
      </w:r>
      <w:r w:rsidRPr="3F050C90">
        <w:rPr>
          <w:rFonts w:ascii="Open Sans Light" w:hAnsi="Open Sans Light"/>
          <w:sz w:val="20"/>
          <w:szCs w:val="20"/>
        </w:rPr>
        <w:t xml:space="preserve">reflect </w:t>
      </w:r>
      <w:r>
        <w:rPr>
          <w:rFonts w:ascii="Open Sans Light" w:hAnsi="Open Sans Light"/>
          <w:sz w:val="20"/>
          <w:szCs w:val="20"/>
        </w:rPr>
        <w:t xml:space="preserve">the reality of </w:t>
      </w:r>
      <w:r w:rsidRPr="3F050C90">
        <w:rPr>
          <w:rFonts w:ascii="Open Sans Light" w:hAnsi="Open Sans Light"/>
          <w:sz w:val="20"/>
          <w:szCs w:val="20"/>
        </w:rPr>
        <w:t>development cycles;</w:t>
      </w:r>
    </w:p>
    <w:p w14:paraId="431F1EC5" w14:textId="77777777" w:rsidR="00E2602F" w:rsidRDefault="00E2602F" w:rsidP="00E2602F">
      <w:pPr>
        <w:pStyle w:val="BodyText"/>
        <w:numPr>
          <w:ilvl w:val="0"/>
          <w:numId w:val="3"/>
        </w:numPr>
        <w:ind w:left="2160"/>
        <w:rPr>
          <w:rFonts w:ascii="Open Sans Light" w:hAnsi="Open Sans Light"/>
          <w:sz w:val="20"/>
          <w:szCs w:val="20"/>
        </w:rPr>
      </w:pPr>
      <w:r w:rsidRPr="3F050C90">
        <w:rPr>
          <w:rFonts w:ascii="Open Sans Light" w:hAnsi="Open Sans Light"/>
          <w:sz w:val="20"/>
          <w:szCs w:val="20"/>
        </w:rPr>
        <w:t>Clarifies how the route applies to existing permissions and stalled schemes; and</w:t>
      </w:r>
    </w:p>
    <w:p w14:paraId="1BEC4290" w14:textId="77777777" w:rsidR="00E2602F" w:rsidRDefault="00E2602F" w:rsidP="00E2602F">
      <w:pPr>
        <w:pStyle w:val="BodyText"/>
        <w:numPr>
          <w:ilvl w:val="0"/>
          <w:numId w:val="3"/>
        </w:numPr>
        <w:ind w:left="2160"/>
        <w:rPr>
          <w:rFonts w:ascii="Open Sans Light" w:hAnsi="Open Sans Light"/>
          <w:sz w:val="20"/>
          <w:szCs w:val="20"/>
        </w:rPr>
      </w:pPr>
      <w:r w:rsidRPr="3F050C90">
        <w:rPr>
          <w:rFonts w:ascii="Open Sans Light" w:hAnsi="Open Sans Light"/>
          <w:sz w:val="20"/>
          <w:szCs w:val="20"/>
        </w:rPr>
        <w:t>Considers how this route interacts with existing Section 106 mechanisms, including review clauses</w:t>
      </w:r>
      <w:r>
        <w:rPr>
          <w:rFonts w:ascii="Open Sans Light" w:hAnsi="Open Sans Light"/>
          <w:sz w:val="20"/>
          <w:szCs w:val="20"/>
        </w:rPr>
        <w:t xml:space="preserve"> such as Section 106BA</w:t>
      </w:r>
      <w:r w:rsidRPr="3F050C90">
        <w:rPr>
          <w:rFonts w:ascii="Open Sans Light" w:hAnsi="Open Sans Light"/>
          <w:sz w:val="20"/>
          <w:szCs w:val="20"/>
        </w:rPr>
        <w:t>, to avoid duplication and uncertainty.</w:t>
      </w:r>
    </w:p>
    <w:p w14:paraId="51C23D5E" w14:textId="77777777" w:rsidR="00E2602F" w:rsidRDefault="00E2602F" w:rsidP="00E2602F">
      <w:pPr>
        <w:pStyle w:val="BodyText"/>
        <w:ind w:left="1440"/>
        <w:rPr>
          <w:rFonts w:ascii="Open Sans Light" w:hAnsi="Open Sans Light"/>
          <w:sz w:val="20"/>
          <w:szCs w:val="20"/>
        </w:rPr>
      </w:pPr>
    </w:p>
    <w:p w14:paraId="23B91BB0" w14:textId="77777777" w:rsidR="00E2602F" w:rsidRDefault="00E2602F" w:rsidP="00E2602F">
      <w:pPr>
        <w:pStyle w:val="BodyText"/>
        <w:ind w:left="1440"/>
        <w:rPr>
          <w:rFonts w:ascii="Open Sans Light" w:hAnsi="Open Sans Light"/>
          <w:sz w:val="20"/>
          <w:szCs w:val="20"/>
        </w:rPr>
      </w:pPr>
      <w:r>
        <w:rPr>
          <w:rFonts w:ascii="Open Sans Light" w:hAnsi="Open Sans Light"/>
          <w:sz w:val="20"/>
          <w:szCs w:val="20"/>
        </w:rPr>
        <w:t>Whilst the rationale behind the Late Stage Review mechanism may have been clear in a continuously rising market, that is not the situation that is faced at present. Given that future economic conditions are difficult to predict we suggest a re-examination of such gain-share reviews, as the current deterrent effect on investment and development activity far outweighs any potential benefit arising.</w:t>
      </w:r>
    </w:p>
    <w:p w14:paraId="0F67EEEE" w14:textId="77777777" w:rsidR="00E2602F" w:rsidRDefault="00E2602F" w:rsidP="00E2602F">
      <w:pPr>
        <w:pStyle w:val="BodyText"/>
        <w:ind w:left="1440"/>
        <w:rPr>
          <w:rFonts w:ascii="Open Sans Light" w:hAnsi="Open Sans Light"/>
          <w:sz w:val="20"/>
          <w:szCs w:val="20"/>
        </w:rPr>
      </w:pPr>
    </w:p>
    <w:p w14:paraId="2145D896" w14:textId="7E2205D5" w:rsidR="00E2602F" w:rsidRDefault="00E2602F" w:rsidP="00E2602F">
      <w:pPr>
        <w:pStyle w:val="BodyText"/>
        <w:ind w:left="1440"/>
        <w:rPr>
          <w:rFonts w:ascii="Open Sans Light" w:hAnsi="Open Sans Light"/>
          <w:sz w:val="20"/>
          <w:szCs w:val="20"/>
        </w:rPr>
      </w:pPr>
      <w:r>
        <w:rPr>
          <w:rFonts w:ascii="Open Sans Light" w:hAnsi="Open Sans Light"/>
          <w:sz w:val="20"/>
          <w:szCs w:val="20"/>
        </w:rPr>
        <w:t xml:space="preserve">One idea for potential amendment would be to accept that the mechanism should become a genuine review – in which the resulting outcome could be either positive or negative compared to the initial position, instead of the one-way, upward-only outcome envisaged currently. Such an approach would be equitable in the sense of providing a degree of flexibility in the light of future economic fluctuations, and thereby reducing real and perceived risk within the investment and development lifecycle. Indeed a strong argument could be made that, if a two-way review process had been in place over recent years, development activity could have continued without the degree of disruption and decline that has become increasingly apparent. </w:t>
      </w:r>
      <w:r w:rsidR="000C5276">
        <w:rPr>
          <w:rFonts w:ascii="Open Sans Light" w:hAnsi="Open Sans Light"/>
          <w:sz w:val="20"/>
          <w:szCs w:val="20"/>
        </w:rPr>
        <w:t xml:space="preserve">Additionally, the GLA could </w:t>
      </w:r>
      <w:r w:rsidR="00164F27">
        <w:rPr>
          <w:rFonts w:ascii="Open Sans Light" w:hAnsi="Open Sans Light"/>
          <w:sz w:val="20"/>
          <w:szCs w:val="20"/>
        </w:rPr>
        <w:t>allow additional flexibility to allow schemes to re</w:t>
      </w:r>
      <w:r w:rsidR="00994C89">
        <w:rPr>
          <w:rFonts w:ascii="Open Sans Light" w:hAnsi="Open Sans Light"/>
          <w:sz w:val="20"/>
          <w:szCs w:val="20"/>
        </w:rPr>
        <w:t>duc</w:t>
      </w:r>
      <w:r w:rsidR="00164F27">
        <w:rPr>
          <w:rFonts w:ascii="Open Sans Light" w:hAnsi="Open Sans Light"/>
          <w:sz w:val="20"/>
          <w:szCs w:val="20"/>
        </w:rPr>
        <w:t xml:space="preserve">e the percentage of affordable housing, if it is providing </w:t>
      </w:r>
      <w:r w:rsidR="00994C89">
        <w:rPr>
          <w:rFonts w:ascii="Open Sans Light" w:hAnsi="Open Sans Light"/>
          <w:sz w:val="20"/>
          <w:szCs w:val="20"/>
        </w:rPr>
        <w:t xml:space="preserve">a higher level of socially rented units within their s106 contributions. </w:t>
      </w:r>
      <w:r>
        <w:rPr>
          <w:rFonts w:ascii="Open Sans Light" w:hAnsi="Open Sans Light"/>
          <w:sz w:val="20"/>
          <w:szCs w:val="20"/>
        </w:rPr>
        <w:t>We urge further engagement with the BPF on this issue, to ensure that the maximum viable level of affordable is secured, but without the risk of perceived penalty that currently prevents delivery.</w:t>
      </w:r>
    </w:p>
    <w:p w14:paraId="0F92A7D8" w14:textId="77777777" w:rsidR="00E2602F" w:rsidRDefault="00E2602F" w:rsidP="00E2602F">
      <w:pPr>
        <w:pStyle w:val="BodyText"/>
        <w:ind w:left="1440"/>
        <w:rPr>
          <w:rFonts w:ascii="Open Sans Light" w:hAnsi="Open Sans Light"/>
          <w:sz w:val="20"/>
          <w:szCs w:val="20"/>
        </w:rPr>
      </w:pPr>
    </w:p>
    <w:p w14:paraId="083DC989" w14:textId="77777777" w:rsidR="00E2602F" w:rsidRDefault="00E2602F" w:rsidP="00E2602F">
      <w:pPr>
        <w:pStyle w:val="BodyText"/>
        <w:ind w:left="1440"/>
        <w:rPr>
          <w:rFonts w:ascii="Open Sans Light" w:hAnsi="Open Sans Light"/>
          <w:sz w:val="20"/>
          <w:szCs w:val="20"/>
        </w:rPr>
      </w:pPr>
      <w:r w:rsidRPr="3F050C90">
        <w:rPr>
          <w:rFonts w:ascii="Open Sans Light" w:hAnsi="Open Sans Light"/>
          <w:sz w:val="20"/>
          <w:szCs w:val="20"/>
        </w:rPr>
        <w:t>Overall, while the introduction of a third route is a positive step, further refinement is required for it to deliver meaningful increases in housing supply during the current downturn.</w:t>
      </w:r>
    </w:p>
    <w:p w14:paraId="05C33532" w14:textId="77777777" w:rsidR="00E16991" w:rsidRDefault="00E16991" w:rsidP="00E16991"/>
    <w:p w14:paraId="283C1969" w14:textId="77777777" w:rsidR="00572BAE" w:rsidRDefault="00572BAE"/>
    <w:sectPr w:rsidR="00572BAE" w:rsidSect="00ED7135">
      <w:headerReference w:type="first" r:id="rId15"/>
      <w:footerReference w:type="first" r:id="rId16"/>
      <w:pgSz w:w="11906" w:h="16838" w:code="9"/>
      <w:pgMar w:top="2892" w:right="1134" w:bottom="1418" w:left="113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8079" w14:textId="77777777" w:rsidR="009114B0" w:rsidRDefault="009114B0" w:rsidP="00A042F0">
      <w:pPr>
        <w:spacing w:line="240" w:lineRule="auto"/>
      </w:pPr>
      <w:r>
        <w:separator/>
      </w:r>
    </w:p>
  </w:endnote>
  <w:endnote w:type="continuationSeparator" w:id="0">
    <w:p w14:paraId="5DBF13B4" w14:textId="77777777" w:rsidR="009114B0" w:rsidRDefault="009114B0" w:rsidP="00A04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ExtraBold">
    <w:charset w:val="00"/>
    <w:family w:val="swiss"/>
    <w:pitch w:val="variable"/>
    <w:sig w:usb0="E00002EF" w:usb1="4000205B" w:usb2="00000028"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CA39" w14:textId="77777777" w:rsidR="0067180B" w:rsidRDefault="00C63A2A">
    <w:pPr>
      <w:pStyle w:val="Footer"/>
    </w:pPr>
    <w:r>
      <w:rPr>
        <w:noProof/>
      </w:rPr>
      <w:drawing>
        <wp:inline distT="0" distB="0" distL="0" distR="0" wp14:anchorId="0F7F99AF" wp14:editId="2D378892">
          <wp:extent cx="2664000" cy="64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664000" cy="64800"/>
                  </a:xfrm>
                  <a:prstGeom prst="rect">
                    <a:avLst/>
                  </a:prstGeom>
                </pic:spPr>
              </pic:pic>
            </a:graphicData>
          </a:graphic>
        </wp:inline>
      </w:drawing>
    </w:r>
    <w:r>
      <w:ptab w:relativeTo="margin" w:alignment="right" w:leader="none"/>
    </w:r>
    <w:r>
      <w:rPr>
        <w:noProof/>
      </w:rPr>
      <w:drawing>
        <wp:inline distT="0" distB="0" distL="0" distR="0" wp14:anchorId="467F1325" wp14:editId="140E3E92">
          <wp:extent cx="540000" cy="1116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540000" cy="11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011" w14:textId="77777777" w:rsidR="00421B06" w:rsidRDefault="00421B06">
    <w:pPr>
      <w:pStyle w:val="Footer"/>
    </w:pPr>
    <w:r>
      <w:rPr>
        <w:noProof/>
      </w:rPr>
      <w:drawing>
        <wp:inline distT="0" distB="0" distL="0" distR="0" wp14:anchorId="6F96AC4D" wp14:editId="025D0787">
          <wp:extent cx="2664000" cy="648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664000" cy="64800"/>
                  </a:xfrm>
                  <a:prstGeom prst="rect">
                    <a:avLst/>
                  </a:prstGeom>
                </pic:spPr>
              </pic:pic>
            </a:graphicData>
          </a:graphic>
        </wp:inline>
      </w:drawing>
    </w:r>
    <w:r>
      <w:ptab w:relativeTo="margin" w:alignment="right" w:leader="none"/>
    </w:r>
    <w:r>
      <w:rPr>
        <w:noProof/>
      </w:rPr>
      <w:drawing>
        <wp:inline distT="0" distB="0" distL="0" distR="0" wp14:anchorId="45F67BC4" wp14:editId="1BF6F11D">
          <wp:extent cx="540000" cy="111600"/>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540000" cy="11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9F21" w14:textId="77777777" w:rsidR="009114B0" w:rsidRDefault="009114B0" w:rsidP="00A042F0">
      <w:pPr>
        <w:spacing w:line="240" w:lineRule="auto"/>
      </w:pPr>
      <w:r>
        <w:separator/>
      </w:r>
    </w:p>
  </w:footnote>
  <w:footnote w:type="continuationSeparator" w:id="0">
    <w:p w14:paraId="1C8F700D" w14:textId="77777777" w:rsidR="009114B0" w:rsidRDefault="009114B0" w:rsidP="00A04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554" w14:textId="31EF3CA0" w:rsidR="0067180B" w:rsidRPr="0067180B" w:rsidRDefault="0067180B" w:rsidP="00ED7135">
    <w:pPr>
      <w:pStyle w:val="Header"/>
      <w:ind w:left="1474"/>
      <w:rPr>
        <w:sz w:val="16"/>
        <w:szCs w:val="16"/>
      </w:rPr>
    </w:pPr>
    <w:r>
      <w:rPr>
        <w:noProof/>
      </w:rPr>
      <w:drawing>
        <wp:anchor distT="0" distB="0" distL="114300" distR="114300" simplePos="0" relativeHeight="251660288" behindDoc="0" locked="1" layoutInCell="1" allowOverlap="1" wp14:anchorId="7B53973D" wp14:editId="50DDF938">
          <wp:simplePos x="0" y="0"/>
          <wp:positionH relativeFrom="column">
            <wp:align>left</wp:align>
          </wp:positionH>
          <wp:positionV relativeFrom="page">
            <wp:posOffset>306070</wp:posOffset>
          </wp:positionV>
          <wp:extent cx="558000" cy="360000"/>
          <wp:effectExtent l="0" t="0" r="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000" cy="360000"/>
                  </a:xfrm>
                  <a:prstGeom prst="rect">
                    <a:avLst/>
                  </a:prstGeom>
                </pic:spPr>
              </pic:pic>
            </a:graphicData>
          </a:graphic>
          <wp14:sizeRelH relativeFrom="margin">
            <wp14:pctWidth>0</wp14:pctWidth>
          </wp14:sizeRelH>
          <wp14:sizeRelV relativeFrom="margin">
            <wp14:pctHeight>0</wp14:pctHeight>
          </wp14:sizeRelV>
        </wp:anchor>
      </w:drawing>
    </w:r>
    <w:r w:rsidR="00BB5D68">
      <w:fldChar w:fldCharType="begin"/>
    </w:r>
    <w:r w:rsidR="00BB5D68">
      <w:instrText xml:space="preserve"> STYLEREF  "</w:instrText>
    </w:r>
    <w:r w:rsidR="00604FF0">
      <w:instrText>report</w:instrText>
    </w:r>
    <w:r w:rsidR="00BB5D68">
      <w:instrText xml:space="preserve"> title" </w:instrText>
    </w:r>
    <w:r w:rsidR="00901CBA">
      <w:fldChar w:fldCharType="separate"/>
    </w:r>
    <w:r w:rsidR="00473CB5">
      <w:rPr>
        <w:noProof/>
      </w:rPr>
      <w:t>Support for housebuilding lpg</w:t>
    </w:r>
    <w:r w:rsidR="00BB5D68">
      <w:rPr>
        <w:noProof/>
      </w:rPr>
      <w:fldChar w:fldCharType="end"/>
    </w:r>
    <w:r w:rsidR="0052322E">
      <w:rPr>
        <w:noProof/>
      </w:rPr>
      <w:t xml:space="preserve"> - </w:t>
    </w:r>
    <w:r w:rsidR="0052322E">
      <w:rPr>
        <w:noProof/>
      </w:rPr>
      <w:fldChar w:fldCharType="begin"/>
    </w:r>
    <w:r w:rsidR="0052322E">
      <w:rPr>
        <w:noProof/>
      </w:rPr>
      <w:instrText xml:space="preserve"> STYLEREF  "Document Name" </w:instrText>
    </w:r>
    <w:r w:rsidR="0052322E">
      <w:rPr>
        <w:noProof/>
      </w:rPr>
      <w:fldChar w:fldCharType="separate"/>
    </w:r>
    <w:r w:rsidR="00473CB5">
      <w:rPr>
        <w:noProof/>
      </w:rPr>
      <w:t>Consultation response</w:t>
    </w:r>
    <w:r w:rsidR="0052322E">
      <w:rPr>
        <w:noProof/>
      </w:rPr>
      <w:fldChar w:fldCharType="end"/>
    </w:r>
    <w:r>
      <w:ptab w:relativeTo="margin" w:alignment="right" w:leader="none"/>
    </w:r>
    <w:r w:rsidRPr="0067180B">
      <w:rPr>
        <w:color w:val="58626E" w:themeColor="text2"/>
        <w:sz w:val="16"/>
        <w:szCs w:val="16"/>
      </w:rPr>
      <w:fldChar w:fldCharType="begin"/>
    </w:r>
    <w:r w:rsidRPr="0067180B">
      <w:rPr>
        <w:color w:val="58626E" w:themeColor="text2"/>
        <w:sz w:val="16"/>
        <w:szCs w:val="16"/>
      </w:rPr>
      <w:instrText xml:space="preserve"> PAGE  \* Arabic </w:instrText>
    </w:r>
    <w:r w:rsidRPr="0067180B">
      <w:rPr>
        <w:color w:val="58626E" w:themeColor="text2"/>
        <w:sz w:val="16"/>
        <w:szCs w:val="16"/>
      </w:rPr>
      <w:fldChar w:fldCharType="separate"/>
    </w:r>
    <w:r>
      <w:rPr>
        <w:color w:val="58626E" w:themeColor="text2"/>
        <w:sz w:val="16"/>
        <w:szCs w:val="16"/>
      </w:rPr>
      <w:t>1</w:t>
    </w:r>
    <w:r w:rsidRPr="0067180B">
      <w:rPr>
        <w:color w:val="58626E" w:themeColor="text2"/>
        <w:sz w:val="16"/>
        <w:szCs w:val="16"/>
      </w:rPr>
      <w:fldChar w:fldCharType="end"/>
    </w:r>
  </w:p>
  <w:p w14:paraId="0EEC449D" w14:textId="77777777" w:rsidR="0067180B" w:rsidRPr="0067180B" w:rsidRDefault="00273316" w:rsidP="00ED7135">
    <w:pPr>
      <w:pStyle w:val="Header"/>
      <w:ind w:left="1474"/>
      <w:rPr>
        <w:rFonts w:asciiTheme="majorHAnsi" w:hAnsiTheme="majorHAnsi" w:cstheme="majorHAnsi"/>
      </w:rPr>
    </w:pPr>
    <w:r>
      <w:rPr>
        <w:rFonts w:asciiTheme="majorHAnsi" w:hAnsiTheme="majorHAnsi" w:cstheme="majorHAnsi"/>
        <w:noProof/>
      </w:rPr>
      <w:drawing>
        <wp:inline distT="0" distB="0" distL="0" distR="0" wp14:anchorId="6EAEAF22" wp14:editId="3E81AABB">
          <wp:extent cx="1224000" cy="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24000" cy="5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6CD2" w14:textId="77777777" w:rsidR="00421B06" w:rsidRDefault="00421B06">
    <w:pPr>
      <w:pStyle w:val="Header"/>
    </w:pPr>
    <w:r>
      <w:rPr>
        <w:noProof/>
      </w:rPr>
      <mc:AlternateContent>
        <mc:Choice Requires="wps">
          <w:drawing>
            <wp:anchor distT="0" distB="0" distL="114300" distR="114300" simplePos="0" relativeHeight="251664384" behindDoc="0" locked="1" layoutInCell="1" allowOverlap="1" wp14:anchorId="01832F80" wp14:editId="20C1E76A">
              <wp:simplePos x="0" y="0"/>
              <wp:positionH relativeFrom="page">
                <wp:posOffset>180340</wp:posOffset>
              </wp:positionH>
              <wp:positionV relativeFrom="page">
                <wp:posOffset>180340</wp:posOffset>
              </wp:positionV>
              <wp:extent cx="7200000" cy="10332000"/>
              <wp:effectExtent l="0" t="0" r="1270" b="0"/>
              <wp:wrapNone/>
              <wp:docPr id="2" name="Rectangle 2"/>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14E0D" id="Rectangle 2" o:spid="_x0000_s1026" style="position:absolute;margin-left:14.2pt;margin-top:14.2pt;width:566.95pt;height:81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" fillcolor="#58626e [3215]"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B1D4" w14:textId="77777777" w:rsidR="00421B06" w:rsidRPr="0067180B" w:rsidRDefault="00421B06">
    <w:pPr>
      <w:pStyle w:val="Header"/>
      <w:rPr>
        <w:sz w:val="16"/>
        <w:szCs w:val="16"/>
      </w:rPr>
    </w:pPr>
    <w:r>
      <w:rPr>
        <w:noProof/>
      </w:rPr>
      <w:drawing>
        <wp:anchor distT="0" distB="0" distL="114300" distR="114300" simplePos="0" relativeHeight="251662336" behindDoc="0" locked="1" layoutInCell="1" allowOverlap="1" wp14:anchorId="49D7A3E7" wp14:editId="70B7A474">
          <wp:simplePos x="0" y="0"/>
          <wp:positionH relativeFrom="page">
            <wp:posOffset>540385</wp:posOffset>
          </wp:positionH>
          <wp:positionV relativeFrom="page">
            <wp:posOffset>306070</wp:posOffset>
          </wp:positionV>
          <wp:extent cx="558000" cy="360000"/>
          <wp:effectExtent l="0" t="0" r="0" b="254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000" cy="360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STYLEREF  "</w:instrText>
    </w:r>
    <w:r w:rsidR="00604FF0">
      <w:instrText>report</w:instrText>
    </w:r>
    <w:r>
      <w:instrText xml:space="preserve"> title" </w:instrText>
    </w:r>
    <w:r>
      <w:fldChar w:fldCharType="separate"/>
    </w:r>
    <w:r w:rsidR="004B2FAC">
      <w:rPr>
        <w:noProof/>
      </w:rPr>
      <w:t>Report title</w:t>
    </w:r>
    <w:r>
      <w:rPr>
        <w:noProof/>
      </w:rPr>
      <w:fldChar w:fldCharType="end"/>
    </w:r>
    <w:r>
      <w:rPr>
        <w:noProof/>
      </w:rPr>
      <w:t xml:space="preserve"> - </w:t>
    </w:r>
    <w:r>
      <w:rPr>
        <w:noProof/>
      </w:rPr>
      <w:fldChar w:fldCharType="begin"/>
    </w:r>
    <w:r>
      <w:rPr>
        <w:noProof/>
      </w:rPr>
      <w:instrText xml:space="preserve"> STYLEREF  "Document Name" </w:instrText>
    </w:r>
    <w:r>
      <w:rPr>
        <w:noProof/>
      </w:rPr>
      <w:fldChar w:fldCharType="separate"/>
    </w:r>
    <w:r w:rsidR="004B2FAC">
      <w:rPr>
        <w:noProof/>
      </w:rPr>
      <w:t>Consultation response</w:t>
    </w:r>
    <w:r>
      <w:rPr>
        <w:noProof/>
      </w:rPr>
      <w:fldChar w:fldCharType="end"/>
    </w:r>
    <w:r>
      <w:ptab w:relativeTo="margin" w:alignment="right" w:leader="none"/>
    </w:r>
    <w:r w:rsidRPr="0067180B">
      <w:rPr>
        <w:color w:val="58626E" w:themeColor="text2"/>
        <w:sz w:val="16"/>
        <w:szCs w:val="16"/>
      </w:rPr>
      <w:fldChar w:fldCharType="begin"/>
    </w:r>
    <w:r w:rsidRPr="0067180B">
      <w:rPr>
        <w:color w:val="58626E" w:themeColor="text2"/>
        <w:sz w:val="16"/>
        <w:szCs w:val="16"/>
      </w:rPr>
      <w:instrText xml:space="preserve"> PAGE  \* Arabic </w:instrText>
    </w:r>
    <w:r w:rsidRPr="0067180B">
      <w:rPr>
        <w:color w:val="58626E" w:themeColor="text2"/>
        <w:sz w:val="16"/>
        <w:szCs w:val="16"/>
      </w:rPr>
      <w:fldChar w:fldCharType="separate"/>
    </w:r>
    <w:r w:rsidRPr="0067180B">
      <w:rPr>
        <w:noProof/>
        <w:color w:val="58626E" w:themeColor="text2"/>
        <w:sz w:val="16"/>
        <w:szCs w:val="16"/>
      </w:rPr>
      <w:t>1</w:t>
    </w:r>
    <w:r w:rsidRPr="0067180B">
      <w:rPr>
        <w:color w:val="58626E" w:themeColor="text2"/>
        <w:sz w:val="16"/>
        <w:szCs w:val="16"/>
      </w:rPr>
      <w:fldChar w:fldCharType="end"/>
    </w:r>
  </w:p>
  <w:p w14:paraId="11C7E843" w14:textId="77777777" w:rsidR="00421B06" w:rsidRPr="0063393D" w:rsidRDefault="00421B06">
    <w:pPr>
      <w:pStyle w:val="Header"/>
      <w:rPr>
        <w:rFonts w:asciiTheme="majorHAnsi" w:hAnsiTheme="majorHAnsi" w:cstheme="majorHAnsi"/>
      </w:rPr>
    </w:pPr>
    <w:r>
      <w:rPr>
        <w:rFonts w:asciiTheme="majorHAnsi" w:hAnsiTheme="majorHAnsi" w:cstheme="majorHAnsi"/>
        <w:noProof/>
      </w:rPr>
      <w:drawing>
        <wp:inline distT="0" distB="0" distL="0" distR="0" wp14:anchorId="502CDBE5" wp14:editId="63FCAD71">
          <wp:extent cx="1224000" cy="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24000" cy="5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24893B6"/>
    <w:lvl w:ilvl="0">
      <w:start w:val="1"/>
      <w:numFmt w:val="bullet"/>
      <w:pStyle w:val="ListBullet3"/>
      <w:lvlText w:val="·"/>
      <w:lvlJc w:val="left"/>
      <w:pPr>
        <w:ind w:left="926" w:hanging="360"/>
      </w:pPr>
      <w:rPr>
        <w:rFonts w:ascii="Symbol" w:hAnsi="Symbol" w:cs="Symbol" w:hint="default"/>
        <w:color w:val="auto"/>
        <w:sz w:val="16"/>
        <w:szCs w:val="24"/>
      </w:rPr>
    </w:lvl>
  </w:abstractNum>
  <w:abstractNum w:abstractNumId="3" w15:restartNumberingAfterBreak="0">
    <w:nsid w:val="FFFFFF83"/>
    <w:multiLevelType w:val="singleLevel"/>
    <w:tmpl w:val="CB1A47CE"/>
    <w:lvl w:ilvl="0">
      <w:start w:val="1"/>
      <w:numFmt w:val="bullet"/>
      <w:pStyle w:val="ListBullet2"/>
      <w:lvlText w:val="·"/>
      <w:lvlJc w:val="left"/>
      <w:pPr>
        <w:ind w:left="643" w:hanging="360"/>
      </w:pPr>
      <w:rPr>
        <w:rFonts w:ascii="Symbol" w:hAnsi="Symbol" w:cs="Symbol" w:hint="default"/>
        <w:color w:val="auto"/>
        <w:sz w:val="16"/>
        <w:szCs w:val="24"/>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3F290E2"/>
    <w:lvl w:ilvl="0">
      <w:start w:val="1"/>
      <w:numFmt w:val="bullet"/>
      <w:lvlText w:val="·"/>
      <w:lvlJc w:val="left"/>
      <w:pPr>
        <w:ind w:left="360" w:hanging="360"/>
      </w:pPr>
      <w:rPr>
        <w:rFonts w:ascii="Symbol" w:hAnsi="Symbol" w:cs="Symbol" w:hint="default"/>
        <w:color w:val="auto"/>
        <w:sz w:val="16"/>
        <w:szCs w:val="24"/>
      </w:rPr>
    </w:lvl>
  </w:abstractNum>
  <w:abstractNum w:abstractNumId="6" w15:restartNumberingAfterBreak="0">
    <w:nsid w:val="01A37A0A"/>
    <w:multiLevelType w:val="hybridMultilevel"/>
    <w:tmpl w:val="6A1E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8836F9"/>
    <w:multiLevelType w:val="multilevel"/>
    <w:tmpl w:val="54BAD0B8"/>
    <w:numStyleLink w:val="HeadingNumList"/>
  </w:abstractNum>
  <w:abstractNum w:abstractNumId="8" w15:restartNumberingAfterBreak="0">
    <w:nsid w:val="06BBD33E"/>
    <w:multiLevelType w:val="hybridMultilevel"/>
    <w:tmpl w:val="24706420"/>
    <w:lvl w:ilvl="0" w:tplc="7F685586">
      <w:start w:val="1"/>
      <w:numFmt w:val="bullet"/>
      <w:lvlText w:val=""/>
      <w:lvlJc w:val="left"/>
      <w:pPr>
        <w:ind w:left="720" w:hanging="360"/>
      </w:pPr>
      <w:rPr>
        <w:rFonts w:ascii="Symbol" w:hAnsi="Symbol" w:hint="default"/>
      </w:rPr>
    </w:lvl>
    <w:lvl w:ilvl="1" w:tplc="64D831A8">
      <w:start w:val="1"/>
      <w:numFmt w:val="bullet"/>
      <w:lvlText w:val="o"/>
      <w:lvlJc w:val="left"/>
      <w:pPr>
        <w:ind w:left="1440" w:hanging="360"/>
      </w:pPr>
      <w:rPr>
        <w:rFonts w:ascii="Courier New" w:hAnsi="Courier New" w:hint="default"/>
      </w:rPr>
    </w:lvl>
    <w:lvl w:ilvl="2" w:tplc="63D45310">
      <w:start w:val="1"/>
      <w:numFmt w:val="bullet"/>
      <w:lvlText w:val=""/>
      <w:lvlJc w:val="left"/>
      <w:pPr>
        <w:ind w:left="2160" w:hanging="360"/>
      </w:pPr>
      <w:rPr>
        <w:rFonts w:ascii="Wingdings" w:hAnsi="Wingdings" w:hint="default"/>
      </w:rPr>
    </w:lvl>
    <w:lvl w:ilvl="3" w:tplc="F476189A">
      <w:start w:val="1"/>
      <w:numFmt w:val="bullet"/>
      <w:lvlText w:val=""/>
      <w:lvlJc w:val="left"/>
      <w:pPr>
        <w:ind w:left="2880" w:hanging="360"/>
      </w:pPr>
      <w:rPr>
        <w:rFonts w:ascii="Symbol" w:hAnsi="Symbol" w:hint="default"/>
      </w:rPr>
    </w:lvl>
    <w:lvl w:ilvl="4" w:tplc="4E5693A2">
      <w:start w:val="1"/>
      <w:numFmt w:val="bullet"/>
      <w:lvlText w:val="o"/>
      <w:lvlJc w:val="left"/>
      <w:pPr>
        <w:ind w:left="3600" w:hanging="360"/>
      </w:pPr>
      <w:rPr>
        <w:rFonts w:ascii="Courier New" w:hAnsi="Courier New" w:hint="default"/>
      </w:rPr>
    </w:lvl>
    <w:lvl w:ilvl="5" w:tplc="2D00D006">
      <w:start w:val="1"/>
      <w:numFmt w:val="bullet"/>
      <w:lvlText w:val=""/>
      <w:lvlJc w:val="left"/>
      <w:pPr>
        <w:ind w:left="4320" w:hanging="360"/>
      </w:pPr>
      <w:rPr>
        <w:rFonts w:ascii="Wingdings" w:hAnsi="Wingdings" w:hint="default"/>
      </w:rPr>
    </w:lvl>
    <w:lvl w:ilvl="6" w:tplc="138E6FB2">
      <w:start w:val="1"/>
      <w:numFmt w:val="bullet"/>
      <w:lvlText w:val=""/>
      <w:lvlJc w:val="left"/>
      <w:pPr>
        <w:ind w:left="5040" w:hanging="360"/>
      </w:pPr>
      <w:rPr>
        <w:rFonts w:ascii="Symbol" w:hAnsi="Symbol" w:hint="default"/>
      </w:rPr>
    </w:lvl>
    <w:lvl w:ilvl="7" w:tplc="A3B4A6BA">
      <w:start w:val="1"/>
      <w:numFmt w:val="bullet"/>
      <w:lvlText w:val="o"/>
      <w:lvlJc w:val="left"/>
      <w:pPr>
        <w:ind w:left="5760" w:hanging="360"/>
      </w:pPr>
      <w:rPr>
        <w:rFonts w:ascii="Courier New" w:hAnsi="Courier New" w:hint="default"/>
      </w:rPr>
    </w:lvl>
    <w:lvl w:ilvl="8" w:tplc="9A46D58E">
      <w:start w:val="1"/>
      <w:numFmt w:val="bullet"/>
      <w:lvlText w:val=""/>
      <w:lvlJc w:val="left"/>
      <w:pPr>
        <w:ind w:left="6480" w:hanging="360"/>
      </w:pPr>
      <w:rPr>
        <w:rFonts w:ascii="Wingdings" w:hAnsi="Wingdings" w:hint="default"/>
      </w:rPr>
    </w:lvl>
  </w:abstractNum>
  <w:abstractNum w:abstractNumId="9" w15:restartNumberingAfterBreak="0">
    <w:nsid w:val="10C92DE1"/>
    <w:multiLevelType w:val="multilevel"/>
    <w:tmpl w:val="B88C6228"/>
    <w:numStyleLink w:val="NumList"/>
  </w:abstractNum>
  <w:abstractNum w:abstractNumId="10" w15:restartNumberingAfterBreak="0">
    <w:nsid w:val="13BA6D89"/>
    <w:multiLevelType w:val="hybridMultilevel"/>
    <w:tmpl w:val="D76E3D5E"/>
    <w:lvl w:ilvl="0" w:tplc="9EB0655E">
      <w:start w:val="1"/>
      <w:numFmt w:val="bullet"/>
      <w:lvlText w:val=""/>
      <w:lvlJc w:val="left"/>
      <w:pPr>
        <w:ind w:left="720" w:hanging="360"/>
      </w:pPr>
      <w:rPr>
        <w:rFonts w:ascii="Symbol" w:hAnsi="Symbol" w:hint="default"/>
      </w:rPr>
    </w:lvl>
    <w:lvl w:ilvl="1" w:tplc="288A8A8C">
      <w:start w:val="1"/>
      <w:numFmt w:val="bullet"/>
      <w:lvlText w:val="o"/>
      <w:lvlJc w:val="left"/>
      <w:pPr>
        <w:ind w:left="1440" w:hanging="360"/>
      </w:pPr>
      <w:rPr>
        <w:rFonts w:ascii="Courier New" w:hAnsi="Courier New" w:hint="default"/>
      </w:rPr>
    </w:lvl>
    <w:lvl w:ilvl="2" w:tplc="9B2210B6">
      <w:start w:val="1"/>
      <w:numFmt w:val="bullet"/>
      <w:lvlText w:val=""/>
      <w:lvlJc w:val="left"/>
      <w:pPr>
        <w:ind w:left="2160" w:hanging="360"/>
      </w:pPr>
      <w:rPr>
        <w:rFonts w:ascii="Wingdings" w:hAnsi="Wingdings" w:hint="default"/>
      </w:rPr>
    </w:lvl>
    <w:lvl w:ilvl="3" w:tplc="87B22A72">
      <w:start w:val="1"/>
      <w:numFmt w:val="bullet"/>
      <w:lvlText w:val=""/>
      <w:lvlJc w:val="left"/>
      <w:pPr>
        <w:ind w:left="2880" w:hanging="360"/>
      </w:pPr>
      <w:rPr>
        <w:rFonts w:ascii="Symbol" w:hAnsi="Symbol" w:hint="default"/>
      </w:rPr>
    </w:lvl>
    <w:lvl w:ilvl="4" w:tplc="B386913C">
      <w:start w:val="1"/>
      <w:numFmt w:val="bullet"/>
      <w:lvlText w:val="o"/>
      <w:lvlJc w:val="left"/>
      <w:pPr>
        <w:ind w:left="3600" w:hanging="360"/>
      </w:pPr>
      <w:rPr>
        <w:rFonts w:ascii="Courier New" w:hAnsi="Courier New" w:hint="default"/>
      </w:rPr>
    </w:lvl>
    <w:lvl w:ilvl="5" w:tplc="3E5A66F2">
      <w:start w:val="1"/>
      <w:numFmt w:val="bullet"/>
      <w:lvlText w:val=""/>
      <w:lvlJc w:val="left"/>
      <w:pPr>
        <w:ind w:left="4320" w:hanging="360"/>
      </w:pPr>
      <w:rPr>
        <w:rFonts w:ascii="Wingdings" w:hAnsi="Wingdings" w:hint="default"/>
      </w:rPr>
    </w:lvl>
    <w:lvl w:ilvl="6" w:tplc="D25458BA">
      <w:start w:val="1"/>
      <w:numFmt w:val="bullet"/>
      <w:lvlText w:val=""/>
      <w:lvlJc w:val="left"/>
      <w:pPr>
        <w:ind w:left="5040" w:hanging="360"/>
      </w:pPr>
      <w:rPr>
        <w:rFonts w:ascii="Symbol" w:hAnsi="Symbol" w:hint="default"/>
      </w:rPr>
    </w:lvl>
    <w:lvl w:ilvl="7" w:tplc="572EEC6A">
      <w:start w:val="1"/>
      <w:numFmt w:val="bullet"/>
      <w:lvlText w:val="o"/>
      <w:lvlJc w:val="left"/>
      <w:pPr>
        <w:ind w:left="5760" w:hanging="360"/>
      </w:pPr>
      <w:rPr>
        <w:rFonts w:ascii="Courier New" w:hAnsi="Courier New" w:hint="default"/>
      </w:rPr>
    </w:lvl>
    <w:lvl w:ilvl="8" w:tplc="5A72238E">
      <w:start w:val="1"/>
      <w:numFmt w:val="bullet"/>
      <w:lvlText w:val=""/>
      <w:lvlJc w:val="left"/>
      <w:pPr>
        <w:ind w:left="6480" w:hanging="360"/>
      </w:pPr>
      <w:rPr>
        <w:rFonts w:ascii="Wingdings" w:hAnsi="Wingdings" w:hint="default"/>
      </w:rPr>
    </w:lvl>
  </w:abstractNum>
  <w:abstractNum w:abstractNumId="11" w15:restartNumberingAfterBreak="0">
    <w:nsid w:val="29CF4B93"/>
    <w:multiLevelType w:val="hybridMultilevel"/>
    <w:tmpl w:val="E816222E"/>
    <w:lvl w:ilvl="0" w:tplc="A8345490">
      <w:start w:val="1"/>
      <w:numFmt w:val="bullet"/>
      <w:lvlText w:val=""/>
      <w:lvlJc w:val="left"/>
      <w:pPr>
        <w:ind w:left="720" w:hanging="360"/>
      </w:pPr>
      <w:rPr>
        <w:rFonts w:ascii="Symbol" w:hAnsi="Symbol" w:hint="default"/>
      </w:rPr>
    </w:lvl>
    <w:lvl w:ilvl="1" w:tplc="B3568CE0">
      <w:start w:val="1"/>
      <w:numFmt w:val="bullet"/>
      <w:lvlText w:val="o"/>
      <w:lvlJc w:val="left"/>
      <w:pPr>
        <w:ind w:left="1440" w:hanging="360"/>
      </w:pPr>
      <w:rPr>
        <w:rFonts w:ascii="Courier New" w:hAnsi="Courier New" w:hint="default"/>
      </w:rPr>
    </w:lvl>
    <w:lvl w:ilvl="2" w:tplc="179C32DC">
      <w:start w:val="1"/>
      <w:numFmt w:val="bullet"/>
      <w:lvlText w:val=""/>
      <w:lvlJc w:val="left"/>
      <w:pPr>
        <w:ind w:left="2160" w:hanging="360"/>
      </w:pPr>
      <w:rPr>
        <w:rFonts w:ascii="Wingdings" w:hAnsi="Wingdings" w:hint="default"/>
      </w:rPr>
    </w:lvl>
    <w:lvl w:ilvl="3" w:tplc="8FE4B110">
      <w:start w:val="1"/>
      <w:numFmt w:val="bullet"/>
      <w:lvlText w:val=""/>
      <w:lvlJc w:val="left"/>
      <w:pPr>
        <w:ind w:left="2880" w:hanging="360"/>
      </w:pPr>
      <w:rPr>
        <w:rFonts w:ascii="Symbol" w:hAnsi="Symbol" w:hint="default"/>
      </w:rPr>
    </w:lvl>
    <w:lvl w:ilvl="4" w:tplc="43128258">
      <w:start w:val="1"/>
      <w:numFmt w:val="bullet"/>
      <w:lvlText w:val="o"/>
      <w:lvlJc w:val="left"/>
      <w:pPr>
        <w:ind w:left="3600" w:hanging="360"/>
      </w:pPr>
      <w:rPr>
        <w:rFonts w:ascii="Courier New" w:hAnsi="Courier New" w:hint="default"/>
      </w:rPr>
    </w:lvl>
    <w:lvl w:ilvl="5" w:tplc="F67815A8">
      <w:start w:val="1"/>
      <w:numFmt w:val="bullet"/>
      <w:lvlText w:val=""/>
      <w:lvlJc w:val="left"/>
      <w:pPr>
        <w:ind w:left="4320" w:hanging="360"/>
      </w:pPr>
      <w:rPr>
        <w:rFonts w:ascii="Wingdings" w:hAnsi="Wingdings" w:hint="default"/>
      </w:rPr>
    </w:lvl>
    <w:lvl w:ilvl="6" w:tplc="2FA4F8DC">
      <w:start w:val="1"/>
      <w:numFmt w:val="bullet"/>
      <w:lvlText w:val=""/>
      <w:lvlJc w:val="left"/>
      <w:pPr>
        <w:ind w:left="5040" w:hanging="360"/>
      </w:pPr>
      <w:rPr>
        <w:rFonts w:ascii="Symbol" w:hAnsi="Symbol" w:hint="default"/>
      </w:rPr>
    </w:lvl>
    <w:lvl w:ilvl="7" w:tplc="B24241BA">
      <w:start w:val="1"/>
      <w:numFmt w:val="bullet"/>
      <w:lvlText w:val="o"/>
      <w:lvlJc w:val="left"/>
      <w:pPr>
        <w:ind w:left="5760" w:hanging="360"/>
      </w:pPr>
      <w:rPr>
        <w:rFonts w:ascii="Courier New" w:hAnsi="Courier New" w:hint="default"/>
      </w:rPr>
    </w:lvl>
    <w:lvl w:ilvl="8" w:tplc="06DEBEB2">
      <w:start w:val="1"/>
      <w:numFmt w:val="bullet"/>
      <w:lvlText w:val=""/>
      <w:lvlJc w:val="left"/>
      <w:pPr>
        <w:ind w:left="6480" w:hanging="360"/>
      </w:pPr>
      <w:rPr>
        <w:rFonts w:ascii="Wingdings" w:hAnsi="Wingdings" w:hint="default"/>
      </w:rPr>
    </w:lvl>
  </w:abstractNum>
  <w:abstractNum w:abstractNumId="12" w15:restartNumberingAfterBreak="0">
    <w:nsid w:val="2D7C2039"/>
    <w:multiLevelType w:val="multilevel"/>
    <w:tmpl w:val="54BAD0B8"/>
    <w:numStyleLink w:val="HeadingNumList"/>
  </w:abstractNum>
  <w:abstractNum w:abstractNumId="13" w15:restartNumberingAfterBreak="0">
    <w:nsid w:val="30E2784E"/>
    <w:multiLevelType w:val="hybridMultilevel"/>
    <w:tmpl w:val="49C2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C16AE"/>
    <w:multiLevelType w:val="hybridMultilevel"/>
    <w:tmpl w:val="5E380144"/>
    <w:lvl w:ilvl="0" w:tplc="EBFCAF02">
      <w:start w:val="1"/>
      <w:numFmt w:val="bullet"/>
      <w:lvlText w:val=""/>
      <w:lvlJc w:val="left"/>
      <w:pPr>
        <w:ind w:left="720" w:hanging="360"/>
      </w:pPr>
      <w:rPr>
        <w:rFonts w:ascii="Symbol" w:hAnsi="Symbol" w:hint="default"/>
      </w:rPr>
    </w:lvl>
    <w:lvl w:ilvl="1" w:tplc="88FEE168">
      <w:start w:val="1"/>
      <w:numFmt w:val="bullet"/>
      <w:lvlText w:val="o"/>
      <w:lvlJc w:val="left"/>
      <w:pPr>
        <w:ind w:left="1440" w:hanging="360"/>
      </w:pPr>
      <w:rPr>
        <w:rFonts w:ascii="Courier New" w:hAnsi="Courier New" w:hint="default"/>
      </w:rPr>
    </w:lvl>
    <w:lvl w:ilvl="2" w:tplc="012AF7B8">
      <w:start w:val="1"/>
      <w:numFmt w:val="bullet"/>
      <w:lvlText w:val=""/>
      <w:lvlJc w:val="left"/>
      <w:pPr>
        <w:ind w:left="2160" w:hanging="360"/>
      </w:pPr>
      <w:rPr>
        <w:rFonts w:ascii="Wingdings" w:hAnsi="Wingdings" w:hint="default"/>
      </w:rPr>
    </w:lvl>
    <w:lvl w:ilvl="3" w:tplc="ECF07C98">
      <w:start w:val="1"/>
      <w:numFmt w:val="bullet"/>
      <w:lvlText w:val=""/>
      <w:lvlJc w:val="left"/>
      <w:pPr>
        <w:ind w:left="2880" w:hanging="360"/>
      </w:pPr>
      <w:rPr>
        <w:rFonts w:ascii="Symbol" w:hAnsi="Symbol" w:hint="default"/>
      </w:rPr>
    </w:lvl>
    <w:lvl w:ilvl="4" w:tplc="34E8173A">
      <w:start w:val="1"/>
      <w:numFmt w:val="bullet"/>
      <w:lvlText w:val="o"/>
      <w:lvlJc w:val="left"/>
      <w:pPr>
        <w:ind w:left="3600" w:hanging="360"/>
      </w:pPr>
      <w:rPr>
        <w:rFonts w:ascii="Courier New" w:hAnsi="Courier New" w:hint="default"/>
      </w:rPr>
    </w:lvl>
    <w:lvl w:ilvl="5" w:tplc="55D4121A">
      <w:start w:val="1"/>
      <w:numFmt w:val="bullet"/>
      <w:lvlText w:val=""/>
      <w:lvlJc w:val="left"/>
      <w:pPr>
        <w:ind w:left="4320" w:hanging="360"/>
      </w:pPr>
      <w:rPr>
        <w:rFonts w:ascii="Wingdings" w:hAnsi="Wingdings" w:hint="default"/>
      </w:rPr>
    </w:lvl>
    <w:lvl w:ilvl="6" w:tplc="E278AACC">
      <w:start w:val="1"/>
      <w:numFmt w:val="bullet"/>
      <w:lvlText w:val=""/>
      <w:lvlJc w:val="left"/>
      <w:pPr>
        <w:ind w:left="5040" w:hanging="360"/>
      </w:pPr>
      <w:rPr>
        <w:rFonts w:ascii="Symbol" w:hAnsi="Symbol" w:hint="default"/>
      </w:rPr>
    </w:lvl>
    <w:lvl w:ilvl="7" w:tplc="D02CA10E">
      <w:start w:val="1"/>
      <w:numFmt w:val="bullet"/>
      <w:lvlText w:val="o"/>
      <w:lvlJc w:val="left"/>
      <w:pPr>
        <w:ind w:left="5760" w:hanging="360"/>
      </w:pPr>
      <w:rPr>
        <w:rFonts w:ascii="Courier New" w:hAnsi="Courier New" w:hint="default"/>
      </w:rPr>
    </w:lvl>
    <w:lvl w:ilvl="8" w:tplc="31525E9C">
      <w:start w:val="1"/>
      <w:numFmt w:val="bullet"/>
      <w:lvlText w:val=""/>
      <w:lvlJc w:val="left"/>
      <w:pPr>
        <w:ind w:left="6480" w:hanging="360"/>
      </w:pPr>
      <w:rPr>
        <w:rFonts w:ascii="Wingdings" w:hAnsi="Wingdings" w:hint="default"/>
      </w:rPr>
    </w:lvl>
  </w:abstractNum>
  <w:abstractNum w:abstractNumId="15" w15:restartNumberingAfterBreak="0">
    <w:nsid w:val="3AA87344"/>
    <w:multiLevelType w:val="multilevel"/>
    <w:tmpl w:val="54BAD0B8"/>
    <w:styleLink w:val="HeadingNum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E65AD5"/>
    <w:multiLevelType w:val="hybridMultilevel"/>
    <w:tmpl w:val="6B448D12"/>
    <w:lvl w:ilvl="0" w:tplc="879E34A8">
      <w:start w:val="1"/>
      <w:numFmt w:val="bullet"/>
      <w:lvlText w:val=""/>
      <w:lvlJc w:val="left"/>
      <w:pPr>
        <w:ind w:left="720" w:hanging="360"/>
      </w:pPr>
      <w:rPr>
        <w:rFonts w:ascii="Symbol" w:hAnsi="Symbol" w:hint="default"/>
      </w:rPr>
    </w:lvl>
    <w:lvl w:ilvl="1" w:tplc="89B41EDE">
      <w:start w:val="1"/>
      <w:numFmt w:val="bullet"/>
      <w:lvlText w:val="o"/>
      <w:lvlJc w:val="left"/>
      <w:pPr>
        <w:ind w:left="1440" w:hanging="360"/>
      </w:pPr>
      <w:rPr>
        <w:rFonts w:ascii="Courier New" w:hAnsi="Courier New" w:hint="default"/>
      </w:rPr>
    </w:lvl>
    <w:lvl w:ilvl="2" w:tplc="838AAD9A">
      <w:start w:val="1"/>
      <w:numFmt w:val="bullet"/>
      <w:lvlText w:val=""/>
      <w:lvlJc w:val="left"/>
      <w:pPr>
        <w:ind w:left="2160" w:hanging="360"/>
      </w:pPr>
      <w:rPr>
        <w:rFonts w:ascii="Wingdings" w:hAnsi="Wingdings" w:hint="default"/>
      </w:rPr>
    </w:lvl>
    <w:lvl w:ilvl="3" w:tplc="8C58988C">
      <w:start w:val="1"/>
      <w:numFmt w:val="bullet"/>
      <w:lvlText w:val=""/>
      <w:lvlJc w:val="left"/>
      <w:pPr>
        <w:ind w:left="2880" w:hanging="360"/>
      </w:pPr>
      <w:rPr>
        <w:rFonts w:ascii="Symbol" w:hAnsi="Symbol" w:hint="default"/>
      </w:rPr>
    </w:lvl>
    <w:lvl w:ilvl="4" w:tplc="C5365B08">
      <w:start w:val="1"/>
      <w:numFmt w:val="bullet"/>
      <w:lvlText w:val="o"/>
      <w:lvlJc w:val="left"/>
      <w:pPr>
        <w:ind w:left="3600" w:hanging="360"/>
      </w:pPr>
      <w:rPr>
        <w:rFonts w:ascii="Courier New" w:hAnsi="Courier New" w:hint="default"/>
      </w:rPr>
    </w:lvl>
    <w:lvl w:ilvl="5" w:tplc="9F6806DE">
      <w:start w:val="1"/>
      <w:numFmt w:val="bullet"/>
      <w:lvlText w:val=""/>
      <w:lvlJc w:val="left"/>
      <w:pPr>
        <w:ind w:left="4320" w:hanging="360"/>
      </w:pPr>
      <w:rPr>
        <w:rFonts w:ascii="Wingdings" w:hAnsi="Wingdings" w:hint="default"/>
      </w:rPr>
    </w:lvl>
    <w:lvl w:ilvl="6" w:tplc="DFEE3C96">
      <w:start w:val="1"/>
      <w:numFmt w:val="bullet"/>
      <w:lvlText w:val=""/>
      <w:lvlJc w:val="left"/>
      <w:pPr>
        <w:ind w:left="5040" w:hanging="360"/>
      </w:pPr>
      <w:rPr>
        <w:rFonts w:ascii="Symbol" w:hAnsi="Symbol" w:hint="default"/>
      </w:rPr>
    </w:lvl>
    <w:lvl w:ilvl="7" w:tplc="AEDCBB82">
      <w:start w:val="1"/>
      <w:numFmt w:val="bullet"/>
      <w:lvlText w:val="o"/>
      <w:lvlJc w:val="left"/>
      <w:pPr>
        <w:ind w:left="5760" w:hanging="360"/>
      </w:pPr>
      <w:rPr>
        <w:rFonts w:ascii="Courier New" w:hAnsi="Courier New" w:hint="default"/>
      </w:rPr>
    </w:lvl>
    <w:lvl w:ilvl="8" w:tplc="F404CC84">
      <w:start w:val="1"/>
      <w:numFmt w:val="bullet"/>
      <w:lvlText w:val=""/>
      <w:lvlJc w:val="left"/>
      <w:pPr>
        <w:ind w:left="6480" w:hanging="360"/>
      </w:pPr>
      <w:rPr>
        <w:rFonts w:ascii="Wingdings" w:hAnsi="Wingdings" w:hint="default"/>
      </w:rPr>
    </w:lvl>
  </w:abstractNum>
  <w:abstractNum w:abstractNumId="17"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AD030E"/>
    <w:multiLevelType w:val="hybridMultilevel"/>
    <w:tmpl w:val="C6E4B032"/>
    <w:lvl w:ilvl="0" w:tplc="21AC051A">
      <w:start w:val="1"/>
      <w:numFmt w:val="bullet"/>
      <w:lvlText w:val=""/>
      <w:lvlJc w:val="left"/>
      <w:pPr>
        <w:ind w:left="720" w:hanging="360"/>
      </w:pPr>
      <w:rPr>
        <w:rFonts w:ascii="Symbol" w:hAnsi="Symbol" w:hint="default"/>
      </w:rPr>
    </w:lvl>
    <w:lvl w:ilvl="1" w:tplc="03B6CACE">
      <w:start w:val="1"/>
      <w:numFmt w:val="bullet"/>
      <w:lvlText w:val="o"/>
      <w:lvlJc w:val="left"/>
      <w:pPr>
        <w:ind w:left="1440" w:hanging="360"/>
      </w:pPr>
      <w:rPr>
        <w:rFonts w:ascii="Courier New" w:hAnsi="Courier New" w:hint="default"/>
      </w:rPr>
    </w:lvl>
    <w:lvl w:ilvl="2" w:tplc="D004E532">
      <w:start w:val="1"/>
      <w:numFmt w:val="bullet"/>
      <w:lvlText w:val=""/>
      <w:lvlJc w:val="left"/>
      <w:pPr>
        <w:ind w:left="2160" w:hanging="360"/>
      </w:pPr>
      <w:rPr>
        <w:rFonts w:ascii="Wingdings" w:hAnsi="Wingdings" w:hint="default"/>
      </w:rPr>
    </w:lvl>
    <w:lvl w:ilvl="3" w:tplc="4EFEC178">
      <w:start w:val="1"/>
      <w:numFmt w:val="bullet"/>
      <w:lvlText w:val=""/>
      <w:lvlJc w:val="left"/>
      <w:pPr>
        <w:ind w:left="2880" w:hanging="360"/>
      </w:pPr>
      <w:rPr>
        <w:rFonts w:ascii="Symbol" w:hAnsi="Symbol" w:hint="default"/>
      </w:rPr>
    </w:lvl>
    <w:lvl w:ilvl="4" w:tplc="A5B0F0E8">
      <w:start w:val="1"/>
      <w:numFmt w:val="bullet"/>
      <w:lvlText w:val="o"/>
      <w:lvlJc w:val="left"/>
      <w:pPr>
        <w:ind w:left="3600" w:hanging="360"/>
      </w:pPr>
      <w:rPr>
        <w:rFonts w:ascii="Courier New" w:hAnsi="Courier New" w:hint="default"/>
      </w:rPr>
    </w:lvl>
    <w:lvl w:ilvl="5" w:tplc="A8D6B400">
      <w:start w:val="1"/>
      <w:numFmt w:val="bullet"/>
      <w:lvlText w:val=""/>
      <w:lvlJc w:val="left"/>
      <w:pPr>
        <w:ind w:left="4320" w:hanging="360"/>
      </w:pPr>
      <w:rPr>
        <w:rFonts w:ascii="Wingdings" w:hAnsi="Wingdings" w:hint="default"/>
      </w:rPr>
    </w:lvl>
    <w:lvl w:ilvl="6" w:tplc="0F1AC5D8">
      <w:start w:val="1"/>
      <w:numFmt w:val="bullet"/>
      <w:lvlText w:val=""/>
      <w:lvlJc w:val="left"/>
      <w:pPr>
        <w:ind w:left="5040" w:hanging="360"/>
      </w:pPr>
      <w:rPr>
        <w:rFonts w:ascii="Symbol" w:hAnsi="Symbol" w:hint="default"/>
      </w:rPr>
    </w:lvl>
    <w:lvl w:ilvl="7" w:tplc="97B80004">
      <w:start w:val="1"/>
      <w:numFmt w:val="bullet"/>
      <w:lvlText w:val="o"/>
      <w:lvlJc w:val="left"/>
      <w:pPr>
        <w:ind w:left="5760" w:hanging="360"/>
      </w:pPr>
      <w:rPr>
        <w:rFonts w:ascii="Courier New" w:hAnsi="Courier New" w:hint="default"/>
      </w:rPr>
    </w:lvl>
    <w:lvl w:ilvl="8" w:tplc="EE2A6FC2">
      <w:start w:val="1"/>
      <w:numFmt w:val="bullet"/>
      <w:lvlText w:val=""/>
      <w:lvlJc w:val="left"/>
      <w:pPr>
        <w:ind w:left="6480" w:hanging="360"/>
      </w:pPr>
      <w:rPr>
        <w:rFonts w:ascii="Wingdings" w:hAnsi="Wingdings" w:hint="default"/>
      </w:rPr>
    </w:lvl>
  </w:abstractNum>
  <w:abstractNum w:abstractNumId="19" w15:restartNumberingAfterBreak="0">
    <w:nsid w:val="551F57D1"/>
    <w:multiLevelType w:val="multilevel"/>
    <w:tmpl w:val="54BAD0B8"/>
    <w:numStyleLink w:val="HeadingNumList"/>
  </w:abstractNum>
  <w:abstractNum w:abstractNumId="20" w15:restartNumberingAfterBreak="0">
    <w:nsid w:val="59031BD7"/>
    <w:multiLevelType w:val="hybridMultilevel"/>
    <w:tmpl w:val="79B2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2D74C"/>
    <w:multiLevelType w:val="hybridMultilevel"/>
    <w:tmpl w:val="A37C6E30"/>
    <w:lvl w:ilvl="0" w:tplc="97645BD8">
      <w:start w:val="1"/>
      <w:numFmt w:val="bullet"/>
      <w:lvlText w:val=""/>
      <w:lvlJc w:val="left"/>
      <w:pPr>
        <w:ind w:left="720" w:hanging="360"/>
      </w:pPr>
      <w:rPr>
        <w:rFonts w:ascii="Symbol" w:hAnsi="Symbol" w:hint="default"/>
      </w:rPr>
    </w:lvl>
    <w:lvl w:ilvl="1" w:tplc="EEA25B3A">
      <w:start w:val="1"/>
      <w:numFmt w:val="bullet"/>
      <w:lvlText w:val="o"/>
      <w:lvlJc w:val="left"/>
      <w:pPr>
        <w:ind w:left="1440" w:hanging="360"/>
      </w:pPr>
      <w:rPr>
        <w:rFonts w:ascii="Courier New" w:hAnsi="Courier New" w:hint="default"/>
      </w:rPr>
    </w:lvl>
    <w:lvl w:ilvl="2" w:tplc="31F26664">
      <w:start w:val="1"/>
      <w:numFmt w:val="bullet"/>
      <w:lvlText w:val=""/>
      <w:lvlJc w:val="left"/>
      <w:pPr>
        <w:ind w:left="2160" w:hanging="360"/>
      </w:pPr>
      <w:rPr>
        <w:rFonts w:ascii="Wingdings" w:hAnsi="Wingdings" w:hint="default"/>
      </w:rPr>
    </w:lvl>
    <w:lvl w:ilvl="3" w:tplc="7F1829E6">
      <w:start w:val="1"/>
      <w:numFmt w:val="bullet"/>
      <w:lvlText w:val=""/>
      <w:lvlJc w:val="left"/>
      <w:pPr>
        <w:ind w:left="2880" w:hanging="360"/>
      </w:pPr>
      <w:rPr>
        <w:rFonts w:ascii="Symbol" w:hAnsi="Symbol" w:hint="default"/>
      </w:rPr>
    </w:lvl>
    <w:lvl w:ilvl="4" w:tplc="B0CAE76A">
      <w:start w:val="1"/>
      <w:numFmt w:val="bullet"/>
      <w:lvlText w:val="o"/>
      <w:lvlJc w:val="left"/>
      <w:pPr>
        <w:ind w:left="3600" w:hanging="360"/>
      </w:pPr>
      <w:rPr>
        <w:rFonts w:ascii="Courier New" w:hAnsi="Courier New" w:hint="default"/>
      </w:rPr>
    </w:lvl>
    <w:lvl w:ilvl="5" w:tplc="830845A4">
      <w:start w:val="1"/>
      <w:numFmt w:val="bullet"/>
      <w:lvlText w:val=""/>
      <w:lvlJc w:val="left"/>
      <w:pPr>
        <w:ind w:left="4320" w:hanging="360"/>
      </w:pPr>
      <w:rPr>
        <w:rFonts w:ascii="Wingdings" w:hAnsi="Wingdings" w:hint="default"/>
      </w:rPr>
    </w:lvl>
    <w:lvl w:ilvl="6" w:tplc="190E9714">
      <w:start w:val="1"/>
      <w:numFmt w:val="bullet"/>
      <w:lvlText w:val=""/>
      <w:lvlJc w:val="left"/>
      <w:pPr>
        <w:ind w:left="5040" w:hanging="360"/>
      </w:pPr>
      <w:rPr>
        <w:rFonts w:ascii="Symbol" w:hAnsi="Symbol" w:hint="default"/>
      </w:rPr>
    </w:lvl>
    <w:lvl w:ilvl="7" w:tplc="5CCEBB3A">
      <w:start w:val="1"/>
      <w:numFmt w:val="bullet"/>
      <w:lvlText w:val="o"/>
      <w:lvlJc w:val="left"/>
      <w:pPr>
        <w:ind w:left="5760" w:hanging="360"/>
      </w:pPr>
      <w:rPr>
        <w:rFonts w:ascii="Courier New" w:hAnsi="Courier New" w:hint="default"/>
      </w:rPr>
    </w:lvl>
    <w:lvl w:ilvl="8" w:tplc="12A80812">
      <w:start w:val="1"/>
      <w:numFmt w:val="bullet"/>
      <w:lvlText w:val=""/>
      <w:lvlJc w:val="left"/>
      <w:pPr>
        <w:ind w:left="6480" w:hanging="360"/>
      </w:pPr>
      <w:rPr>
        <w:rFonts w:ascii="Wingdings" w:hAnsi="Wingdings" w:hint="default"/>
      </w:rPr>
    </w:lvl>
  </w:abstractNum>
  <w:abstractNum w:abstractNumId="22" w15:restartNumberingAfterBreak="0">
    <w:nsid w:val="6C6248F4"/>
    <w:multiLevelType w:val="multilevel"/>
    <w:tmpl w:val="54BAD0B8"/>
    <w:numStyleLink w:val="HeadingNumList"/>
  </w:abstractNum>
  <w:abstractNum w:abstractNumId="23" w15:restartNumberingAfterBreak="0">
    <w:nsid w:val="721A0D15"/>
    <w:multiLevelType w:val="hybridMultilevel"/>
    <w:tmpl w:val="298C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2605B"/>
    <w:multiLevelType w:val="multilevel"/>
    <w:tmpl w:val="54BAD0B8"/>
    <w:numStyleLink w:val="HeadingNumList"/>
  </w:abstractNum>
  <w:abstractNum w:abstractNumId="25" w15:restartNumberingAfterBreak="0">
    <w:nsid w:val="74D5FB45"/>
    <w:multiLevelType w:val="hybridMultilevel"/>
    <w:tmpl w:val="41D619FA"/>
    <w:lvl w:ilvl="0" w:tplc="DC6EE2E6">
      <w:start w:val="1"/>
      <w:numFmt w:val="bullet"/>
      <w:lvlText w:val=""/>
      <w:lvlJc w:val="left"/>
      <w:pPr>
        <w:ind w:left="720" w:hanging="360"/>
      </w:pPr>
      <w:rPr>
        <w:rFonts w:ascii="Symbol" w:hAnsi="Symbol" w:hint="default"/>
      </w:rPr>
    </w:lvl>
    <w:lvl w:ilvl="1" w:tplc="287C91B4">
      <w:start w:val="1"/>
      <w:numFmt w:val="bullet"/>
      <w:lvlText w:val="o"/>
      <w:lvlJc w:val="left"/>
      <w:pPr>
        <w:ind w:left="1440" w:hanging="360"/>
      </w:pPr>
      <w:rPr>
        <w:rFonts w:ascii="Courier New" w:hAnsi="Courier New" w:hint="default"/>
      </w:rPr>
    </w:lvl>
    <w:lvl w:ilvl="2" w:tplc="3A14913E">
      <w:start w:val="1"/>
      <w:numFmt w:val="bullet"/>
      <w:lvlText w:val=""/>
      <w:lvlJc w:val="left"/>
      <w:pPr>
        <w:ind w:left="2160" w:hanging="360"/>
      </w:pPr>
      <w:rPr>
        <w:rFonts w:ascii="Wingdings" w:hAnsi="Wingdings" w:hint="default"/>
      </w:rPr>
    </w:lvl>
    <w:lvl w:ilvl="3" w:tplc="9756655A">
      <w:start w:val="1"/>
      <w:numFmt w:val="bullet"/>
      <w:lvlText w:val=""/>
      <w:lvlJc w:val="left"/>
      <w:pPr>
        <w:ind w:left="2880" w:hanging="360"/>
      </w:pPr>
      <w:rPr>
        <w:rFonts w:ascii="Symbol" w:hAnsi="Symbol" w:hint="default"/>
      </w:rPr>
    </w:lvl>
    <w:lvl w:ilvl="4" w:tplc="8A62657E">
      <w:start w:val="1"/>
      <w:numFmt w:val="bullet"/>
      <w:lvlText w:val="o"/>
      <w:lvlJc w:val="left"/>
      <w:pPr>
        <w:ind w:left="3600" w:hanging="360"/>
      </w:pPr>
      <w:rPr>
        <w:rFonts w:ascii="Courier New" w:hAnsi="Courier New" w:hint="default"/>
      </w:rPr>
    </w:lvl>
    <w:lvl w:ilvl="5" w:tplc="EA681D44">
      <w:start w:val="1"/>
      <w:numFmt w:val="bullet"/>
      <w:lvlText w:val=""/>
      <w:lvlJc w:val="left"/>
      <w:pPr>
        <w:ind w:left="4320" w:hanging="360"/>
      </w:pPr>
      <w:rPr>
        <w:rFonts w:ascii="Wingdings" w:hAnsi="Wingdings" w:hint="default"/>
      </w:rPr>
    </w:lvl>
    <w:lvl w:ilvl="6" w:tplc="01768548">
      <w:start w:val="1"/>
      <w:numFmt w:val="bullet"/>
      <w:lvlText w:val=""/>
      <w:lvlJc w:val="left"/>
      <w:pPr>
        <w:ind w:left="5040" w:hanging="360"/>
      </w:pPr>
      <w:rPr>
        <w:rFonts w:ascii="Symbol" w:hAnsi="Symbol" w:hint="default"/>
      </w:rPr>
    </w:lvl>
    <w:lvl w:ilvl="7" w:tplc="B8C258E0">
      <w:start w:val="1"/>
      <w:numFmt w:val="bullet"/>
      <w:lvlText w:val="o"/>
      <w:lvlJc w:val="left"/>
      <w:pPr>
        <w:ind w:left="5760" w:hanging="360"/>
      </w:pPr>
      <w:rPr>
        <w:rFonts w:ascii="Courier New" w:hAnsi="Courier New" w:hint="default"/>
      </w:rPr>
    </w:lvl>
    <w:lvl w:ilvl="8" w:tplc="181AEE28">
      <w:start w:val="1"/>
      <w:numFmt w:val="bullet"/>
      <w:lvlText w:val=""/>
      <w:lvlJc w:val="left"/>
      <w:pPr>
        <w:ind w:left="6480" w:hanging="360"/>
      </w:pPr>
      <w:rPr>
        <w:rFonts w:ascii="Wingdings" w:hAnsi="Wingdings" w:hint="default"/>
      </w:rPr>
    </w:lvl>
  </w:abstractNum>
  <w:abstractNum w:abstractNumId="26" w15:restartNumberingAfterBreak="0">
    <w:nsid w:val="7AD922FF"/>
    <w:multiLevelType w:val="hybridMultilevel"/>
    <w:tmpl w:val="7C4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873EC"/>
    <w:multiLevelType w:val="hybridMultilevel"/>
    <w:tmpl w:val="554A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612320">
    <w:abstractNumId w:val="18"/>
  </w:num>
  <w:num w:numId="2" w16cid:durableId="1789733481">
    <w:abstractNumId w:val="11"/>
  </w:num>
  <w:num w:numId="3" w16cid:durableId="642850412">
    <w:abstractNumId w:val="8"/>
  </w:num>
  <w:num w:numId="4" w16cid:durableId="1913470018">
    <w:abstractNumId w:val="21"/>
  </w:num>
  <w:num w:numId="5" w16cid:durableId="1295721830">
    <w:abstractNumId w:val="14"/>
  </w:num>
  <w:num w:numId="6" w16cid:durableId="36852847">
    <w:abstractNumId w:val="16"/>
  </w:num>
  <w:num w:numId="7" w16cid:durableId="1149632643">
    <w:abstractNumId w:val="25"/>
  </w:num>
  <w:num w:numId="8" w16cid:durableId="1268587428">
    <w:abstractNumId w:val="10"/>
  </w:num>
  <w:num w:numId="9" w16cid:durableId="593130771">
    <w:abstractNumId w:val="5"/>
  </w:num>
  <w:num w:numId="10" w16cid:durableId="1517503812">
    <w:abstractNumId w:val="3"/>
  </w:num>
  <w:num w:numId="11" w16cid:durableId="1775981302">
    <w:abstractNumId w:val="2"/>
  </w:num>
  <w:num w:numId="12" w16cid:durableId="1751003764">
    <w:abstractNumId w:val="4"/>
  </w:num>
  <w:num w:numId="13" w16cid:durableId="1363751086">
    <w:abstractNumId w:val="1"/>
  </w:num>
  <w:num w:numId="14" w16cid:durableId="321197759">
    <w:abstractNumId w:val="0"/>
  </w:num>
  <w:num w:numId="15" w16cid:durableId="1115716071">
    <w:abstractNumId w:val="17"/>
  </w:num>
  <w:num w:numId="16" w16cid:durableId="1478184811">
    <w:abstractNumId w:val="15"/>
  </w:num>
  <w:num w:numId="17" w16cid:durableId="1622957895">
    <w:abstractNumId w:val="7"/>
  </w:num>
  <w:num w:numId="18" w16cid:durableId="520167916">
    <w:abstractNumId w:val="9"/>
  </w:num>
  <w:num w:numId="19" w16cid:durableId="1752192050">
    <w:abstractNumId w:val="5"/>
  </w:num>
  <w:num w:numId="20" w16cid:durableId="654459647">
    <w:abstractNumId w:val="9"/>
  </w:num>
  <w:num w:numId="21" w16cid:durableId="1640263418">
    <w:abstractNumId w:val="3"/>
  </w:num>
  <w:num w:numId="22" w16cid:durableId="187137583">
    <w:abstractNumId w:val="2"/>
  </w:num>
  <w:num w:numId="23" w16cid:durableId="118259199">
    <w:abstractNumId w:val="9"/>
  </w:num>
  <w:num w:numId="24" w16cid:durableId="548416288">
    <w:abstractNumId w:val="9"/>
  </w:num>
  <w:num w:numId="25" w16cid:durableId="1278566920">
    <w:abstractNumId w:val="17"/>
  </w:num>
  <w:num w:numId="26" w16cid:durableId="945426817">
    <w:abstractNumId w:val="15"/>
  </w:num>
  <w:num w:numId="27" w16cid:durableId="1735618337">
    <w:abstractNumId w:val="12"/>
  </w:num>
  <w:num w:numId="28" w16cid:durableId="1760178764">
    <w:abstractNumId w:val="24"/>
  </w:num>
  <w:num w:numId="29" w16cid:durableId="300235807">
    <w:abstractNumId w:val="22"/>
  </w:num>
  <w:num w:numId="30" w16cid:durableId="273172262">
    <w:abstractNumId w:val="19"/>
  </w:num>
  <w:num w:numId="31" w16cid:durableId="188416307">
    <w:abstractNumId w:val="13"/>
  </w:num>
  <w:num w:numId="32" w16cid:durableId="888340565">
    <w:abstractNumId w:val="26"/>
  </w:num>
  <w:num w:numId="33" w16cid:durableId="600770645">
    <w:abstractNumId w:val="20"/>
  </w:num>
  <w:num w:numId="34" w16cid:durableId="1647969873">
    <w:abstractNumId w:val="27"/>
  </w:num>
  <w:num w:numId="35" w16cid:durableId="794368861">
    <w:abstractNumId w:val="6"/>
  </w:num>
  <w:num w:numId="36" w16cid:durableId="742412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C"/>
    <w:rsid w:val="000136B3"/>
    <w:rsid w:val="00034DF7"/>
    <w:rsid w:val="00037B26"/>
    <w:rsid w:val="000430B8"/>
    <w:rsid w:val="00045342"/>
    <w:rsid w:val="00063486"/>
    <w:rsid w:val="00074507"/>
    <w:rsid w:val="00076B30"/>
    <w:rsid w:val="00081E76"/>
    <w:rsid w:val="000850B5"/>
    <w:rsid w:val="0008732E"/>
    <w:rsid w:val="00087E03"/>
    <w:rsid w:val="000A3D76"/>
    <w:rsid w:val="000C5276"/>
    <w:rsid w:val="000D1C1A"/>
    <w:rsid w:val="000D5F76"/>
    <w:rsid w:val="000E4DB6"/>
    <w:rsid w:val="000E55F0"/>
    <w:rsid w:val="000F05E7"/>
    <w:rsid w:val="001024F4"/>
    <w:rsid w:val="001028FE"/>
    <w:rsid w:val="001077BE"/>
    <w:rsid w:val="00115EBE"/>
    <w:rsid w:val="001210B1"/>
    <w:rsid w:val="00123F5A"/>
    <w:rsid w:val="00124E90"/>
    <w:rsid w:val="001311FA"/>
    <w:rsid w:val="00131D97"/>
    <w:rsid w:val="00132286"/>
    <w:rsid w:val="0013617D"/>
    <w:rsid w:val="00136363"/>
    <w:rsid w:val="00137C13"/>
    <w:rsid w:val="00137C3F"/>
    <w:rsid w:val="00142C99"/>
    <w:rsid w:val="00143584"/>
    <w:rsid w:val="001450FA"/>
    <w:rsid w:val="00151AE1"/>
    <w:rsid w:val="00157692"/>
    <w:rsid w:val="00163DBA"/>
    <w:rsid w:val="00164F27"/>
    <w:rsid w:val="00171970"/>
    <w:rsid w:val="00175223"/>
    <w:rsid w:val="001954F4"/>
    <w:rsid w:val="001A1435"/>
    <w:rsid w:val="001A4883"/>
    <w:rsid w:val="001A6431"/>
    <w:rsid w:val="001A6553"/>
    <w:rsid w:val="001A772B"/>
    <w:rsid w:val="001C2A49"/>
    <w:rsid w:val="001D4718"/>
    <w:rsid w:val="001E15AB"/>
    <w:rsid w:val="001E2449"/>
    <w:rsid w:val="001E646C"/>
    <w:rsid w:val="00223D90"/>
    <w:rsid w:val="002246FB"/>
    <w:rsid w:val="00224F47"/>
    <w:rsid w:val="00225AD5"/>
    <w:rsid w:val="00225F50"/>
    <w:rsid w:val="00246BC0"/>
    <w:rsid w:val="00251615"/>
    <w:rsid w:val="002668A3"/>
    <w:rsid w:val="00273316"/>
    <w:rsid w:val="00274B1D"/>
    <w:rsid w:val="00286603"/>
    <w:rsid w:val="00286D58"/>
    <w:rsid w:val="00292CA6"/>
    <w:rsid w:val="002A0B91"/>
    <w:rsid w:val="002A3AD7"/>
    <w:rsid w:val="002B45AC"/>
    <w:rsid w:val="002C40C3"/>
    <w:rsid w:val="002C426E"/>
    <w:rsid w:val="002F1458"/>
    <w:rsid w:val="003066A7"/>
    <w:rsid w:val="00315331"/>
    <w:rsid w:val="00337251"/>
    <w:rsid w:val="00340D98"/>
    <w:rsid w:val="00345D96"/>
    <w:rsid w:val="0036416A"/>
    <w:rsid w:val="00367175"/>
    <w:rsid w:val="00371700"/>
    <w:rsid w:val="003B1F49"/>
    <w:rsid w:val="003C0061"/>
    <w:rsid w:val="003C30EA"/>
    <w:rsid w:val="003E45F6"/>
    <w:rsid w:val="003E5CDF"/>
    <w:rsid w:val="00405FE2"/>
    <w:rsid w:val="00413DF5"/>
    <w:rsid w:val="00421B06"/>
    <w:rsid w:val="00425FBA"/>
    <w:rsid w:val="004322B9"/>
    <w:rsid w:val="00444CE9"/>
    <w:rsid w:val="00446AD7"/>
    <w:rsid w:val="004610D0"/>
    <w:rsid w:val="00461597"/>
    <w:rsid w:val="00473CB5"/>
    <w:rsid w:val="00475812"/>
    <w:rsid w:val="004A1F15"/>
    <w:rsid w:val="004B0B77"/>
    <w:rsid w:val="004B0FDA"/>
    <w:rsid w:val="004B2FAC"/>
    <w:rsid w:val="004D4848"/>
    <w:rsid w:val="004D5BE7"/>
    <w:rsid w:val="004E0ED5"/>
    <w:rsid w:val="004E2EC6"/>
    <w:rsid w:val="004F2F42"/>
    <w:rsid w:val="004F37EE"/>
    <w:rsid w:val="004F4D8D"/>
    <w:rsid w:val="00521C04"/>
    <w:rsid w:val="0052322E"/>
    <w:rsid w:val="00550E7E"/>
    <w:rsid w:val="005517FE"/>
    <w:rsid w:val="00572980"/>
    <w:rsid w:val="00572BAE"/>
    <w:rsid w:val="0057626C"/>
    <w:rsid w:val="005900C9"/>
    <w:rsid w:val="005B15E0"/>
    <w:rsid w:val="005B6833"/>
    <w:rsid w:val="005C0D63"/>
    <w:rsid w:val="005C1E20"/>
    <w:rsid w:val="005C3D93"/>
    <w:rsid w:val="005D2228"/>
    <w:rsid w:val="005D455A"/>
    <w:rsid w:val="005D49FB"/>
    <w:rsid w:val="005E496F"/>
    <w:rsid w:val="005E5721"/>
    <w:rsid w:val="005F6876"/>
    <w:rsid w:val="00604FF0"/>
    <w:rsid w:val="00607AD7"/>
    <w:rsid w:val="006202E4"/>
    <w:rsid w:val="00620AF7"/>
    <w:rsid w:val="0062576B"/>
    <w:rsid w:val="0063219C"/>
    <w:rsid w:val="00632DCE"/>
    <w:rsid w:val="0063393D"/>
    <w:rsid w:val="00634E50"/>
    <w:rsid w:val="00646E43"/>
    <w:rsid w:val="00652968"/>
    <w:rsid w:val="00653674"/>
    <w:rsid w:val="00663383"/>
    <w:rsid w:val="0067180B"/>
    <w:rsid w:val="0067188F"/>
    <w:rsid w:val="006731F8"/>
    <w:rsid w:val="006858F3"/>
    <w:rsid w:val="00694B85"/>
    <w:rsid w:val="006A6166"/>
    <w:rsid w:val="006C534A"/>
    <w:rsid w:val="006F6432"/>
    <w:rsid w:val="006F723B"/>
    <w:rsid w:val="007129BD"/>
    <w:rsid w:val="007129C3"/>
    <w:rsid w:val="00720F5D"/>
    <w:rsid w:val="00724498"/>
    <w:rsid w:val="00734EE6"/>
    <w:rsid w:val="00737ED4"/>
    <w:rsid w:val="00753D6A"/>
    <w:rsid w:val="00764973"/>
    <w:rsid w:val="0076518A"/>
    <w:rsid w:val="00774FDE"/>
    <w:rsid w:val="007A080C"/>
    <w:rsid w:val="007B5947"/>
    <w:rsid w:val="007B6609"/>
    <w:rsid w:val="007C0490"/>
    <w:rsid w:val="007C11DC"/>
    <w:rsid w:val="007C4A9C"/>
    <w:rsid w:val="007D58FB"/>
    <w:rsid w:val="007F124F"/>
    <w:rsid w:val="007F245F"/>
    <w:rsid w:val="00815145"/>
    <w:rsid w:val="008200FA"/>
    <w:rsid w:val="0082110E"/>
    <w:rsid w:val="00840BED"/>
    <w:rsid w:val="00845A02"/>
    <w:rsid w:val="00876BD3"/>
    <w:rsid w:val="008773D3"/>
    <w:rsid w:val="00890CAF"/>
    <w:rsid w:val="00893E76"/>
    <w:rsid w:val="0089640F"/>
    <w:rsid w:val="00897D8D"/>
    <w:rsid w:val="008A4797"/>
    <w:rsid w:val="008B5ABE"/>
    <w:rsid w:val="008D6DCC"/>
    <w:rsid w:val="008E0499"/>
    <w:rsid w:val="008E6C91"/>
    <w:rsid w:val="008F4A07"/>
    <w:rsid w:val="00901CBA"/>
    <w:rsid w:val="00905B6D"/>
    <w:rsid w:val="009114B0"/>
    <w:rsid w:val="00921020"/>
    <w:rsid w:val="00931C84"/>
    <w:rsid w:val="00945AB6"/>
    <w:rsid w:val="00947598"/>
    <w:rsid w:val="00952469"/>
    <w:rsid w:val="00961290"/>
    <w:rsid w:val="00965F9B"/>
    <w:rsid w:val="00994C89"/>
    <w:rsid w:val="00997E91"/>
    <w:rsid w:val="009B1C3C"/>
    <w:rsid w:val="009F522A"/>
    <w:rsid w:val="00A042F0"/>
    <w:rsid w:val="00A07694"/>
    <w:rsid w:val="00A12073"/>
    <w:rsid w:val="00A16B03"/>
    <w:rsid w:val="00A277CA"/>
    <w:rsid w:val="00A32745"/>
    <w:rsid w:val="00A34FA6"/>
    <w:rsid w:val="00A36B7D"/>
    <w:rsid w:val="00A37684"/>
    <w:rsid w:val="00A5485E"/>
    <w:rsid w:val="00A66A51"/>
    <w:rsid w:val="00A66F3A"/>
    <w:rsid w:val="00A71700"/>
    <w:rsid w:val="00A756B6"/>
    <w:rsid w:val="00A82C64"/>
    <w:rsid w:val="00A86C7C"/>
    <w:rsid w:val="00A9382B"/>
    <w:rsid w:val="00A96B7C"/>
    <w:rsid w:val="00AA46CD"/>
    <w:rsid w:val="00AB30A6"/>
    <w:rsid w:val="00AC3F33"/>
    <w:rsid w:val="00AC476B"/>
    <w:rsid w:val="00AC7431"/>
    <w:rsid w:val="00AC7F54"/>
    <w:rsid w:val="00AE08C0"/>
    <w:rsid w:val="00AE766D"/>
    <w:rsid w:val="00AF4F3B"/>
    <w:rsid w:val="00AF54B1"/>
    <w:rsid w:val="00B02480"/>
    <w:rsid w:val="00B04D62"/>
    <w:rsid w:val="00B06135"/>
    <w:rsid w:val="00B12797"/>
    <w:rsid w:val="00B33079"/>
    <w:rsid w:val="00B33CB9"/>
    <w:rsid w:val="00B41E17"/>
    <w:rsid w:val="00B50D62"/>
    <w:rsid w:val="00B6096A"/>
    <w:rsid w:val="00B62394"/>
    <w:rsid w:val="00B6296C"/>
    <w:rsid w:val="00B73019"/>
    <w:rsid w:val="00B906C8"/>
    <w:rsid w:val="00B957AA"/>
    <w:rsid w:val="00BB34BB"/>
    <w:rsid w:val="00BB5D68"/>
    <w:rsid w:val="00BB7D16"/>
    <w:rsid w:val="00BD0950"/>
    <w:rsid w:val="00BD449C"/>
    <w:rsid w:val="00BD5EED"/>
    <w:rsid w:val="00BE4B36"/>
    <w:rsid w:val="00BE4B92"/>
    <w:rsid w:val="00BF0E10"/>
    <w:rsid w:val="00BF2F3C"/>
    <w:rsid w:val="00BF4351"/>
    <w:rsid w:val="00C0279F"/>
    <w:rsid w:val="00C14193"/>
    <w:rsid w:val="00C1421D"/>
    <w:rsid w:val="00C261A3"/>
    <w:rsid w:val="00C26BC3"/>
    <w:rsid w:val="00C30425"/>
    <w:rsid w:val="00C314A6"/>
    <w:rsid w:val="00C35BA7"/>
    <w:rsid w:val="00C63A2A"/>
    <w:rsid w:val="00CB5803"/>
    <w:rsid w:val="00CD250F"/>
    <w:rsid w:val="00CE3F45"/>
    <w:rsid w:val="00CF0A60"/>
    <w:rsid w:val="00CF1095"/>
    <w:rsid w:val="00D000C7"/>
    <w:rsid w:val="00D410DB"/>
    <w:rsid w:val="00D41F50"/>
    <w:rsid w:val="00D45004"/>
    <w:rsid w:val="00D46862"/>
    <w:rsid w:val="00D528E4"/>
    <w:rsid w:val="00D5351D"/>
    <w:rsid w:val="00D55E64"/>
    <w:rsid w:val="00D63730"/>
    <w:rsid w:val="00D66B0F"/>
    <w:rsid w:val="00D9414E"/>
    <w:rsid w:val="00D96D4D"/>
    <w:rsid w:val="00DA10E1"/>
    <w:rsid w:val="00DA4F0E"/>
    <w:rsid w:val="00DB0E4F"/>
    <w:rsid w:val="00DB2BF8"/>
    <w:rsid w:val="00DB2D3E"/>
    <w:rsid w:val="00DB39FC"/>
    <w:rsid w:val="00DB3E08"/>
    <w:rsid w:val="00DB5D93"/>
    <w:rsid w:val="00DC1916"/>
    <w:rsid w:val="00DD0B81"/>
    <w:rsid w:val="00DD3A45"/>
    <w:rsid w:val="00DF1370"/>
    <w:rsid w:val="00DF19EB"/>
    <w:rsid w:val="00DF5789"/>
    <w:rsid w:val="00E01CA0"/>
    <w:rsid w:val="00E0657F"/>
    <w:rsid w:val="00E127D8"/>
    <w:rsid w:val="00E16991"/>
    <w:rsid w:val="00E17C9B"/>
    <w:rsid w:val="00E2602F"/>
    <w:rsid w:val="00E261C0"/>
    <w:rsid w:val="00E30DE6"/>
    <w:rsid w:val="00E32894"/>
    <w:rsid w:val="00E423AA"/>
    <w:rsid w:val="00E44E5B"/>
    <w:rsid w:val="00E52A3F"/>
    <w:rsid w:val="00E52AB2"/>
    <w:rsid w:val="00E55A76"/>
    <w:rsid w:val="00E57150"/>
    <w:rsid w:val="00E67EFF"/>
    <w:rsid w:val="00E76832"/>
    <w:rsid w:val="00E869BB"/>
    <w:rsid w:val="00EA1CF8"/>
    <w:rsid w:val="00EB07CD"/>
    <w:rsid w:val="00EC1CE3"/>
    <w:rsid w:val="00EC5A03"/>
    <w:rsid w:val="00ED7135"/>
    <w:rsid w:val="00EF0B1C"/>
    <w:rsid w:val="00EF44A5"/>
    <w:rsid w:val="00F13320"/>
    <w:rsid w:val="00F21499"/>
    <w:rsid w:val="00F2514A"/>
    <w:rsid w:val="00F3147E"/>
    <w:rsid w:val="00F326D1"/>
    <w:rsid w:val="00F34B05"/>
    <w:rsid w:val="00F42AA9"/>
    <w:rsid w:val="00F8029D"/>
    <w:rsid w:val="00F83BA9"/>
    <w:rsid w:val="00F911A5"/>
    <w:rsid w:val="00F94ED2"/>
    <w:rsid w:val="00F96AF1"/>
    <w:rsid w:val="00FB2422"/>
    <w:rsid w:val="00FB5262"/>
    <w:rsid w:val="00FC57C1"/>
    <w:rsid w:val="00FD4FE0"/>
    <w:rsid w:val="00FD65F2"/>
    <w:rsid w:val="00FF31E8"/>
    <w:rsid w:val="00FF4C46"/>
    <w:rsid w:val="00FF4E15"/>
    <w:rsid w:val="0343E559"/>
    <w:rsid w:val="0465253B"/>
    <w:rsid w:val="05A10FCD"/>
    <w:rsid w:val="05BA8D0F"/>
    <w:rsid w:val="05C849E7"/>
    <w:rsid w:val="06219DB8"/>
    <w:rsid w:val="06E505E9"/>
    <w:rsid w:val="08B44D95"/>
    <w:rsid w:val="095FC6B4"/>
    <w:rsid w:val="0C72346D"/>
    <w:rsid w:val="0CE48555"/>
    <w:rsid w:val="0DD8CDEC"/>
    <w:rsid w:val="0DF7A027"/>
    <w:rsid w:val="0E34F34C"/>
    <w:rsid w:val="0E6043CB"/>
    <w:rsid w:val="0E6A7FDB"/>
    <w:rsid w:val="0F5B9F9C"/>
    <w:rsid w:val="0F6EAE88"/>
    <w:rsid w:val="0FA678DA"/>
    <w:rsid w:val="1002EFE4"/>
    <w:rsid w:val="10141C17"/>
    <w:rsid w:val="117D4760"/>
    <w:rsid w:val="11CCFFCF"/>
    <w:rsid w:val="129D33D0"/>
    <w:rsid w:val="13384B64"/>
    <w:rsid w:val="140311FB"/>
    <w:rsid w:val="1510F9A9"/>
    <w:rsid w:val="16AEC159"/>
    <w:rsid w:val="17D34042"/>
    <w:rsid w:val="1941AF1A"/>
    <w:rsid w:val="194F8990"/>
    <w:rsid w:val="1AAC8E4C"/>
    <w:rsid w:val="1CCC1709"/>
    <w:rsid w:val="1DA06EFC"/>
    <w:rsid w:val="1DC1C991"/>
    <w:rsid w:val="1E44797C"/>
    <w:rsid w:val="2056163F"/>
    <w:rsid w:val="20E4F994"/>
    <w:rsid w:val="22486AE5"/>
    <w:rsid w:val="22A733AF"/>
    <w:rsid w:val="2304C8EB"/>
    <w:rsid w:val="230D17BF"/>
    <w:rsid w:val="23B3C607"/>
    <w:rsid w:val="24691198"/>
    <w:rsid w:val="248E0DD3"/>
    <w:rsid w:val="25162A60"/>
    <w:rsid w:val="25334A11"/>
    <w:rsid w:val="2761D45F"/>
    <w:rsid w:val="287C09C5"/>
    <w:rsid w:val="28D225DD"/>
    <w:rsid w:val="2A52937A"/>
    <w:rsid w:val="2BB952BB"/>
    <w:rsid w:val="2C0339C6"/>
    <w:rsid w:val="2C138E29"/>
    <w:rsid w:val="2C6B4D66"/>
    <w:rsid w:val="2C90D8B4"/>
    <w:rsid w:val="2D076260"/>
    <w:rsid w:val="2FF1EEBE"/>
    <w:rsid w:val="325EE486"/>
    <w:rsid w:val="3286B0C4"/>
    <w:rsid w:val="331B0AF0"/>
    <w:rsid w:val="341D3897"/>
    <w:rsid w:val="343D8EAE"/>
    <w:rsid w:val="3494C270"/>
    <w:rsid w:val="34B89724"/>
    <w:rsid w:val="372CFA37"/>
    <w:rsid w:val="37517960"/>
    <w:rsid w:val="37A4A346"/>
    <w:rsid w:val="381C9047"/>
    <w:rsid w:val="3A296AE6"/>
    <w:rsid w:val="3AE58531"/>
    <w:rsid w:val="3C02A42C"/>
    <w:rsid w:val="3CBA0E2C"/>
    <w:rsid w:val="3DCB222C"/>
    <w:rsid w:val="3E3DFF87"/>
    <w:rsid w:val="3EBA0525"/>
    <w:rsid w:val="3F050C90"/>
    <w:rsid w:val="3F78F719"/>
    <w:rsid w:val="420D52C7"/>
    <w:rsid w:val="431B65DC"/>
    <w:rsid w:val="444CACEC"/>
    <w:rsid w:val="456A15DC"/>
    <w:rsid w:val="468DF02F"/>
    <w:rsid w:val="46C8BB98"/>
    <w:rsid w:val="49CADF6A"/>
    <w:rsid w:val="4AB45EAA"/>
    <w:rsid w:val="4C09A8EB"/>
    <w:rsid w:val="4CE95352"/>
    <w:rsid w:val="4EA4D677"/>
    <w:rsid w:val="4EF5689E"/>
    <w:rsid w:val="4F768222"/>
    <w:rsid w:val="4F9BD6AF"/>
    <w:rsid w:val="524C7488"/>
    <w:rsid w:val="53369270"/>
    <w:rsid w:val="5389ADC5"/>
    <w:rsid w:val="54ACEABB"/>
    <w:rsid w:val="555FAE4E"/>
    <w:rsid w:val="574DE47D"/>
    <w:rsid w:val="5AD1E737"/>
    <w:rsid w:val="5B08714C"/>
    <w:rsid w:val="5D0B30FF"/>
    <w:rsid w:val="5DF57661"/>
    <w:rsid w:val="5F1D047E"/>
    <w:rsid w:val="5F3EF3D8"/>
    <w:rsid w:val="5F956B62"/>
    <w:rsid w:val="60D8314C"/>
    <w:rsid w:val="62B02B9E"/>
    <w:rsid w:val="6315A3B9"/>
    <w:rsid w:val="651323B9"/>
    <w:rsid w:val="6590E847"/>
    <w:rsid w:val="661FD7BB"/>
    <w:rsid w:val="6657DC57"/>
    <w:rsid w:val="665B3391"/>
    <w:rsid w:val="6691BDCD"/>
    <w:rsid w:val="66DEEDC4"/>
    <w:rsid w:val="678FCFD4"/>
    <w:rsid w:val="682103FE"/>
    <w:rsid w:val="6826A078"/>
    <w:rsid w:val="694208CA"/>
    <w:rsid w:val="69D43B37"/>
    <w:rsid w:val="6BB7DC70"/>
    <w:rsid w:val="6C2F241C"/>
    <w:rsid w:val="6E1B0EEA"/>
    <w:rsid w:val="6EF05108"/>
    <w:rsid w:val="6EFB6C72"/>
    <w:rsid w:val="6EFDAC1E"/>
    <w:rsid w:val="7012B98E"/>
    <w:rsid w:val="712590EA"/>
    <w:rsid w:val="731D5996"/>
    <w:rsid w:val="732A5000"/>
    <w:rsid w:val="74EBA149"/>
    <w:rsid w:val="75457F01"/>
    <w:rsid w:val="7557CA01"/>
    <w:rsid w:val="75862B36"/>
    <w:rsid w:val="75879497"/>
    <w:rsid w:val="77A55D5F"/>
    <w:rsid w:val="7825903C"/>
    <w:rsid w:val="78399D63"/>
    <w:rsid w:val="78A6F198"/>
    <w:rsid w:val="792A27CB"/>
    <w:rsid w:val="79C7FB04"/>
    <w:rsid w:val="7A053B0B"/>
    <w:rsid w:val="7A17411B"/>
    <w:rsid w:val="7A2F2E74"/>
    <w:rsid w:val="7A302D49"/>
    <w:rsid w:val="7A5DF422"/>
    <w:rsid w:val="7ABCA241"/>
    <w:rsid w:val="7B370B95"/>
    <w:rsid w:val="7BE6F395"/>
    <w:rsid w:val="7D9B66D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ACBE"/>
  <w15:chartTrackingRefBased/>
  <w15:docId w15:val="{61FDA6AD-818E-45C1-8BFE-8A3C1E38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90CAF"/>
    <w:pPr>
      <w:spacing w:line="280" w:lineRule="atLeast"/>
    </w:pPr>
    <w:rPr>
      <w:color w:val="58626E" w:themeColor="text2"/>
      <w:sz w:val="20"/>
      <w:szCs w:val="20"/>
    </w:rPr>
  </w:style>
  <w:style w:type="paragraph" w:styleId="Heading1">
    <w:name w:val="heading 1"/>
    <w:basedOn w:val="Normal"/>
    <w:next w:val="Normal"/>
    <w:link w:val="Heading1Char"/>
    <w:uiPriority w:val="9"/>
    <w:qFormat/>
    <w:rsid w:val="005517FE"/>
    <w:pPr>
      <w:keepNext/>
      <w:keepLines/>
      <w:spacing w:after="1400" w:line="400" w:lineRule="atLeast"/>
      <w:outlineLvl w:val="0"/>
    </w:pPr>
    <w:rPr>
      <w:rFonts w:asciiTheme="majorHAnsi" w:eastAsiaTheme="majorEastAsia" w:hAnsiTheme="majorHAnsi" w:cstheme="majorBidi"/>
      <w:bCs/>
      <w:caps/>
      <w:color w:val="198ECA" w:themeColor="accent1"/>
      <w:sz w:val="36"/>
      <w:szCs w:val="36"/>
    </w:rPr>
  </w:style>
  <w:style w:type="paragraph" w:styleId="Heading2">
    <w:name w:val="heading 2"/>
    <w:basedOn w:val="Normal"/>
    <w:next w:val="Normal"/>
    <w:link w:val="Heading2Char"/>
    <w:uiPriority w:val="9"/>
    <w:qFormat/>
    <w:rsid w:val="005517FE"/>
    <w:pPr>
      <w:keepNext/>
      <w:keepLines/>
      <w:spacing w:after="57"/>
      <w:outlineLvl w:val="1"/>
    </w:pPr>
    <w:rPr>
      <w:rFonts w:ascii="Open Sans SemiBold" w:eastAsiaTheme="majorEastAsia" w:hAnsi="Open Sans SemiBold" w:cstheme="majorBidi"/>
    </w:rPr>
  </w:style>
  <w:style w:type="paragraph" w:styleId="Heading3">
    <w:name w:val="heading 3"/>
    <w:basedOn w:val="Normal"/>
    <w:next w:val="Normal"/>
    <w:link w:val="Heading3Char"/>
    <w:uiPriority w:val="9"/>
    <w:qFormat/>
    <w:rsid w:val="001D4718"/>
    <w:pPr>
      <w:keepNext/>
      <w:keepLines/>
      <w:spacing w:after="57"/>
      <w:outlineLvl w:val="2"/>
    </w:pPr>
    <w:rPr>
      <w:rFonts w:ascii="Open Sans" w:eastAsiaTheme="majorEastAsia" w:hAnsi="Open Sans" w:cstheme="majorBidi"/>
      <w:b/>
      <w:iCs/>
      <w:color w:val="198ECA" w:themeColor="accent1"/>
      <w:sz w:val="28"/>
    </w:rPr>
  </w:style>
  <w:style w:type="paragraph" w:styleId="Heading4">
    <w:name w:val="heading 4"/>
    <w:basedOn w:val="Normal"/>
    <w:next w:val="Normal"/>
    <w:link w:val="Heading4Char"/>
    <w:uiPriority w:val="9"/>
    <w:qFormat/>
    <w:rsid w:val="00074507"/>
    <w:pPr>
      <w:keepNext/>
      <w:keepLines/>
      <w:spacing w:line="320" w:lineRule="atLeast"/>
      <w:outlineLvl w:val="3"/>
    </w:pPr>
    <w:rPr>
      <w:rFonts w:eastAsiaTheme="majorEastAsia" w:cstheme="majorBidi"/>
      <w:iCs/>
      <w:color w:val="198ECA" w:themeColor="accent1"/>
      <w:sz w:val="28"/>
      <w:szCs w:val="28"/>
    </w:rPr>
  </w:style>
  <w:style w:type="paragraph" w:styleId="Heading5">
    <w:name w:val="heading 5"/>
    <w:basedOn w:val="Normal"/>
    <w:next w:val="Normal"/>
    <w:link w:val="Heading5Char"/>
    <w:uiPriority w:val="9"/>
    <w:qFormat/>
    <w:rsid w:val="005B15E0"/>
    <w:pPr>
      <w:keepNext/>
      <w:keepLines/>
      <w:spacing w:before="60" w:line="220" w:lineRule="atLeast"/>
      <w:outlineLvl w:val="4"/>
    </w:pPr>
    <w:rPr>
      <w:rFonts w:asciiTheme="majorHAnsi" w:eastAsiaTheme="majorEastAsia" w:hAnsiTheme="majorHAnsi" w:cstheme="majorBidi"/>
      <w:caps/>
      <w:color w:val="198ECA" w:themeColor="accent1"/>
      <w:sz w:val="18"/>
      <w:szCs w:val="18"/>
    </w:rPr>
  </w:style>
  <w:style w:type="paragraph" w:styleId="Heading6">
    <w:name w:val="heading 6"/>
    <w:basedOn w:val="Normal"/>
    <w:next w:val="BodyText"/>
    <w:link w:val="Heading6Char"/>
    <w:uiPriority w:val="9"/>
    <w:qFormat/>
    <w:rsid w:val="00074507"/>
    <w:pPr>
      <w:keepNext/>
      <w:keepLines/>
      <w:spacing w:line="220" w:lineRule="atLeast"/>
      <w:outlineLvl w:val="5"/>
    </w:pPr>
    <w:rPr>
      <w:rFonts w:asciiTheme="majorHAnsi" w:eastAsiaTheme="majorEastAsia" w:hAnsiTheme="majorHAnsi"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5517FE"/>
    <w:rPr>
      <w:rFonts w:asciiTheme="majorHAnsi" w:eastAsiaTheme="majorEastAsia" w:hAnsiTheme="majorHAnsi" w:cstheme="majorBidi"/>
      <w:bCs/>
      <w:caps/>
      <w:color w:val="198ECA" w:themeColor="accent1"/>
      <w:sz w:val="36"/>
      <w:szCs w:val="36"/>
    </w:rPr>
  </w:style>
  <w:style w:type="character" w:customStyle="1" w:styleId="Heading2Char">
    <w:name w:val="Heading 2 Char"/>
    <w:basedOn w:val="DefaultParagraphFont"/>
    <w:link w:val="Heading2"/>
    <w:uiPriority w:val="9"/>
    <w:rsid w:val="005517FE"/>
    <w:rPr>
      <w:rFonts w:ascii="Open Sans SemiBold" w:eastAsiaTheme="majorEastAsia" w:hAnsi="Open Sans SemiBold" w:cstheme="majorBidi"/>
      <w:color w:val="58626E" w:themeColor="text2"/>
      <w:sz w:val="20"/>
      <w:szCs w:val="20"/>
    </w:rPr>
  </w:style>
  <w:style w:type="paragraph" w:styleId="Caption">
    <w:name w:val="caption"/>
    <w:basedOn w:val="Normal"/>
    <w:next w:val="Normal"/>
    <w:uiPriority w:val="49"/>
    <w:qFormat/>
    <w:rsid w:val="00572980"/>
    <w:pPr>
      <w:spacing w:before="280" w:line="220" w:lineRule="atLeast"/>
      <w:ind w:left="567"/>
    </w:pPr>
    <w:rPr>
      <w:rFonts w:ascii="Open Sans SemiBold" w:hAnsi="Open Sans SemiBold"/>
      <w:iCs/>
      <w:caps/>
      <w:color w:val="198ECA" w:themeColor="accent1"/>
      <w:sz w:val="14"/>
      <w:szCs w:val="14"/>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15"/>
      </w:numPr>
    </w:pPr>
  </w:style>
  <w:style w:type="paragraph" w:styleId="ListNumber">
    <w:name w:val="List Number"/>
    <w:basedOn w:val="Normal"/>
    <w:uiPriority w:val="29"/>
    <w:qFormat/>
    <w:rsid w:val="008E6C91"/>
    <w:pPr>
      <w:numPr>
        <w:numId w:val="25"/>
      </w:numPr>
      <w:contextualSpacing/>
    </w:pPr>
  </w:style>
  <w:style w:type="paragraph" w:styleId="ListNumber2">
    <w:name w:val="List Number 2"/>
    <w:basedOn w:val="Normal"/>
    <w:uiPriority w:val="29"/>
    <w:qFormat/>
    <w:rsid w:val="008E6C91"/>
    <w:pPr>
      <w:numPr>
        <w:ilvl w:val="1"/>
        <w:numId w:val="25"/>
      </w:numPr>
      <w:contextualSpacing/>
    </w:pPr>
  </w:style>
  <w:style w:type="paragraph" w:styleId="ListNumber3">
    <w:name w:val="List Number 3"/>
    <w:basedOn w:val="Normal"/>
    <w:uiPriority w:val="29"/>
    <w:qFormat/>
    <w:rsid w:val="008E6C91"/>
    <w:pPr>
      <w:numPr>
        <w:ilvl w:val="2"/>
        <w:numId w:val="25"/>
      </w:numPr>
      <w:contextualSpacing/>
    </w:pPr>
  </w:style>
  <w:style w:type="character" w:customStyle="1" w:styleId="Heading3Char">
    <w:name w:val="Heading 3 Char"/>
    <w:basedOn w:val="DefaultParagraphFont"/>
    <w:link w:val="Heading3"/>
    <w:uiPriority w:val="9"/>
    <w:rsid w:val="001D4718"/>
    <w:rPr>
      <w:rFonts w:ascii="Open Sans" w:eastAsiaTheme="majorEastAsia" w:hAnsi="Open Sans" w:cstheme="majorBidi"/>
      <w:b/>
      <w:iCs/>
      <w:color w:val="198ECA" w:themeColor="accent1"/>
      <w:sz w:val="28"/>
      <w:szCs w:val="20"/>
    </w:rPr>
  </w:style>
  <w:style w:type="numbering" w:customStyle="1" w:styleId="HeadingNumList">
    <w:name w:val="HeadingNumList"/>
    <w:uiPriority w:val="99"/>
    <w:rsid w:val="005517FE"/>
    <w:pPr>
      <w:numPr>
        <w:numId w:val="16"/>
      </w:numPr>
    </w:pPr>
  </w:style>
  <w:style w:type="paragraph" w:styleId="ListBullet">
    <w:name w:val="List Bullet"/>
    <w:basedOn w:val="Normal"/>
    <w:uiPriority w:val="19"/>
    <w:qFormat/>
    <w:rsid w:val="004D4848"/>
    <w:pPr>
      <w:spacing w:after="57"/>
    </w:pPr>
  </w:style>
  <w:style w:type="paragraph" w:styleId="ListBullet2">
    <w:name w:val="List Bullet 2"/>
    <w:basedOn w:val="Normal"/>
    <w:uiPriority w:val="19"/>
    <w:qFormat/>
    <w:rsid w:val="004D4848"/>
    <w:pPr>
      <w:numPr>
        <w:numId w:val="21"/>
      </w:numPr>
      <w:spacing w:after="57"/>
      <w:ind w:left="1135" w:hanging="284"/>
    </w:pPr>
  </w:style>
  <w:style w:type="paragraph" w:styleId="ListBullet3">
    <w:name w:val="List Bullet 3"/>
    <w:basedOn w:val="Normal"/>
    <w:uiPriority w:val="19"/>
    <w:qFormat/>
    <w:rsid w:val="004D4848"/>
    <w:pPr>
      <w:numPr>
        <w:numId w:val="22"/>
      </w:numPr>
      <w:spacing w:after="57"/>
      <w:ind w:left="1418" w:hanging="284"/>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table" w:styleId="TableGrid">
    <w:name w:val="Table Grid"/>
    <w:basedOn w:val="TableNormal"/>
    <w:uiPriority w:val="39"/>
    <w:rsid w:val="0072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518A"/>
    <w:pPr>
      <w:tabs>
        <w:tab w:val="center" w:pos="4513"/>
        <w:tab w:val="right" w:pos="9026"/>
      </w:tabs>
      <w:spacing w:line="180" w:lineRule="atLeast"/>
    </w:pPr>
    <w:rPr>
      <w:caps/>
      <w:color w:val="198ECA" w:themeColor="accent1"/>
      <w:sz w:val="12"/>
    </w:rPr>
  </w:style>
  <w:style w:type="character" w:customStyle="1" w:styleId="HeaderChar">
    <w:name w:val="Header Char"/>
    <w:basedOn w:val="DefaultParagraphFont"/>
    <w:link w:val="Header"/>
    <w:uiPriority w:val="99"/>
    <w:rsid w:val="0076518A"/>
    <w:rPr>
      <w:caps/>
      <w:color w:val="198ECA" w:themeColor="accent1"/>
      <w:sz w:val="12"/>
    </w:rPr>
  </w:style>
  <w:style w:type="paragraph" w:styleId="Footer">
    <w:name w:val="footer"/>
    <w:basedOn w:val="Normal"/>
    <w:link w:val="FooterChar"/>
    <w:uiPriority w:val="99"/>
    <w:rsid w:val="00572980"/>
    <w:pPr>
      <w:pBdr>
        <w:top w:val="single" w:sz="4" w:space="8" w:color="auto"/>
      </w:pBdr>
      <w:tabs>
        <w:tab w:val="center" w:pos="4513"/>
        <w:tab w:val="right" w:pos="9026"/>
      </w:tabs>
      <w:spacing w:line="240" w:lineRule="auto"/>
    </w:pPr>
    <w:rPr>
      <w:rFonts w:asciiTheme="majorHAnsi" w:hAnsiTheme="majorHAnsi"/>
      <w:caps/>
      <w:sz w:val="16"/>
      <w:szCs w:val="16"/>
    </w:rPr>
  </w:style>
  <w:style w:type="character" w:customStyle="1" w:styleId="FooterChar">
    <w:name w:val="Footer Char"/>
    <w:basedOn w:val="DefaultParagraphFont"/>
    <w:link w:val="Footer"/>
    <w:uiPriority w:val="99"/>
    <w:rsid w:val="00572980"/>
    <w:rPr>
      <w:rFonts w:asciiTheme="majorHAnsi" w:hAnsiTheme="majorHAnsi"/>
      <w:caps/>
      <w:color w:val="58626E" w:themeColor="text2"/>
      <w:sz w:val="16"/>
      <w:szCs w:val="16"/>
    </w:rPr>
  </w:style>
  <w:style w:type="paragraph" w:customStyle="1" w:styleId="Reporttitle">
    <w:name w:val="Report title"/>
    <w:basedOn w:val="Normal"/>
    <w:next w:val="Normal"/>
    <w:uiPriority w:val="49"/>
    <w:rsid w:val="00E67EFF"/>
    <w:pPr>
      <w:spacing w:after="240" w:line="216" w:lineRule="auto"/>
    </w:pPr>
    <w:rPr>
      <w:caps/>
      <w:color w:val="FFFFFF" w:themeColor="background1"/>
      <w:sz w:val="48"/>
      <w:szCs w:val="48"/>
    </w:rPr>
  </w:style>
  <w:style w:type="paragraph" w:customStyle="1" w:styleId="DocumentName">
    <w:name w:val="Document Name"/>
    <w:basedOn w:val="Normal"/>
    <w:next w:val="Normal"/>
    <w:uiPriority w:val="49"/>
    <w:rsid w:val="00E67EFF"/>
    <w:pPr>
      <w:spacing w:line="216" w:lineRule="auto"/>
    </w:pPr>
    <w:rPr>
      <w:rFonts w:asciiTheme="majorHAnsi" w:hAnsiTheme="majorHAnsi"/>
      <w:caps/>
      <w:color w:val="FFFFFF" w:themeColor="background1"/>
      <w:sz w:val="36"/>
      <w:szCs w:val="36"/>
    </w:rPr>
  </w:style>
  <w:style w:type="paragraph" w:styleId="BodyText">
    <w:name w:val="Body Text"/>
    <w:basedOn w:val="Normal"/>
    <w:link w:val="BodyTextChar"/>
    <w:qFormat/>
    <w:rsid w:val="00074507"/>
    <w:rPr>
      <w:sz w:val="18"/>
      <w:szCs w:val="18"/>
    </w:rPr>
  </w:style>
  <w:style w:type="character" w:customStyle="1" w:styleId="BodyTextChar">
    <w:name w:val="Body Text Char"/>
    <w:basedOn w:val="DefaultParagraphFont"/>
    <w:link w:val="BodyText"/>
    <w:rsid w:val="00074507"/>
    <w:rPr>
      <w:color w:val="58626E" w:themeColor="text2"/>
      <w:sz w:val="18"/>
      <w:szCs w:val="18"/>
    </w:rPr>
  </w:style>
  <w:style w:type="character" w:styleId="PlaceholderText">
    <w:name w:val="Placeholder Text"/>
    <w:basedOn w:val="DefaultParagraphFont"/>
    <w:uiPriority w:val="99"/>
    <w:semiHidden/>
    <w:rsid w:val="00CB5803"/>
    <w:rPr>
      <w:color w:val="808080"/>
    </w:rPr>
  </w:style>
  <w:style w:type="table" w:customStyle="1" w:styleId="BPFTableStyle">
    <w:name w:val="BPF Table Style"/>
    <w:basedOn w:val="TableNormal"/>
    <w:uiPriority w:val="99"/>
    <w:rsid w:val="002668A3"/>
    <w:rPr>
      <w:sz w:val="16"/>
    </w:rPr>
    <w:tblPr>
      <w:tblBorders>
        <w:top w:val="single" w:sz="4" w:space="0" w:color="58626E" w:themeColor="text2"/>
        <w:bottom w:val="single" w:sz="4" w:space="0" w:color="58626E" w:themeColor="text2"/>
        <w:insideH w:val="single" w:sz="4" w:space="0" w:color="58626E" w:themeColor="text2"/>
      </w:tblBorders>
    </w:tblPr>
    <w:tblStylePr w:type="firstRow">
      <w:rPr>
        <w:rFonts w:ascii="Open Sans SemiBold" w:hAnsi="Open Sans SemiBold"/>
        <w:color w:val="FFFFFF" w:themeColor="background1"/>
      </w:rPr>
      <w:tblPr/>
      <w:tcPr>
        <w:shd w:val="clear" w:color="auto" w:fill="198ECA" w:themeFill="accent1"/>
      </w:tcPr>
    </w:tblStylePr>
    <w:tblStylePr w:type="lastRow">
      <w:tblPr/>
      <w:tcPr>
        <w:tcBorders>
          <w:top w:val="single" w:sz="4" w:space="0" w:color="198ECA" w:themeColor="accent1"/>
          <w:left w:val="nil"/>
          <w:bottom w:val="single" w:sz="4" w:space="0" w:color="198ECA" w:themeColor="accent1"/>
          <w:right w:val="nil"/>
          <w:insideH w:val="nil"/>
          <w:insideV w:val="nil"/>
          <w:tl2br w:val="nil"/>
          <w:tr2bl w:val="nil"/>
        </w:tcBorders>
      </w:tcPr>
    </w:tblStylePr>
  </w:style>
  <w:style w:type="paragraph" w:customStyle="1" w:styleId="Tabletext">
    <w:name w:val="Table text"/>
    <w:basedOn w:val="BodyText"/>
    <w:uiPriority w:val="11"/>
    <w:qFormat/>
    <w:rsid w:val="00897D8D"/>
    <w:pPr>
      <w:spacing w:before="20" w:after="40" w:line="240" w:lineRule="atLeast"/>
      <w:contextualSpacing/>
    </w:pPr>
    <w:rPr>
      <w:sz w:val="16"/>
      <w:szCs w:val="16"/>
    </w:rPr>
  </w:style>
  <w:style w:type="paragraph" w:customStyle="1" w:styleId="Tabletitle">
    <w:name w:val="Table title"/>
    <w:basedOn w:val="Tabletext"/>
    <w:uiPriority w:val="11"/>
    <w:qFormat/>
    <w:rsid w:val="00572980"/>
    <w:rPr>
      <w:rFonts w:ascii="Open Sans SemiBold" w:hAnsi="Open Sans SemiBold"/>
      <w:caps/>
      <w:color w:val="FFFFFF" w:themeColor="background1"/>
    </w:rPr>
  </w:style>
  <w:style w:type="paragraph" w:customStyle="1" w:styleId="Introductiontext">
    <w:name w:val="Introduction text"/>
    <w:basedOn w:val="Normal"/>
    <w:next w:val="Normal"/>
    <w:uiPriority w:val="11"/>
    <w:qFormat/>
    <w:rsid w:val="005517FE"/>
    <w:pPr>
      <w:spacing w:line="300" w:lineRule="atLeast"/>
    </w:pPr>
    <w:rPr>
      <w:color w:val="198ECA" w:themeColor="accent1"/>
      <w:sz w:val="24"/>
    </w:rPr>
  </w:style>
  <w:style w:type="character" w:customStyle="1" w:styleId="Heading4Char">
    <w:name w:val="Heading 4 Char"/>
    <w:basedOn w:val="DefaultParagraphFont"/>
    <w:link w:val="Heading4"/>
    <w:uiPriority w:val="9"/>
    <w:rsid w:val="00074507"/>
    <w:rPr>
      <w:rFonts w:eastAsiaTheme="majorEastAsia" w:cstheme="majorBidi"/>
      <w:iCs/>
      <w:color w:val="198ECA" w:themeColor="accent1"/>
      <w:sz w:val="28"/>
      <w:szCs w:val="28"/>
    </w:rPr>
  </w:style>
  <w:style w:type="character" w:customStyle="1" w:styleId="Heading5Char">
    <w:name w:val="Heading 5 Char"/>
    <w:basedOn w:val="DefaultParagraphFont"/>
    <w:link w:val="Heading5"/>
    <w:uiPriority w:val="9"/>
    <w:rsid w:val="005B15E0"/>
    <w:rPr>
      <w:rFonts w:asciiTheme="majorHAnsi" w:eastAsiaTheme="majorEastAsia" w:hAnsiTheme="majorHAnsi" w:cstheme="majorBidi"/>
      <w:caps/>
      <w:color w:val="198ECA" w:themeColor="accent1"/>
      <w:sz w:val="18"/>
      <w:szCs w:val="18"/>
    </w:rPr>
  </w:style>
  <w:style w:type="character" w:customStyle="1" w:styleId="Heading6Char">
    <w:name w:val="Heading 6 Char"/>
    <w:basedOn w:val="DefaultParagraphFont"/>
    <w:link w:val="Heading6"/>
    <w:uiPriority w:val="9"/>
    <w:rsid w:val="00074507"/>
    <w:rPr>
      <w:rFonts w:asciiTheme="majorHAnsi" w:eastAsiaTheme="majorEastAsia" w:hAnsiTheme="majorHAnsi" w:cstheme="majorBidi"/>
      <w:color w:val="58626E" w:themeColor="text2"/>
      <w:sz w:val="18"/>
      <w:szCs w:val="20"/>
    </w:rPr>
  </w:style>
  <w:style w:type="character" w:styleId="CommentReference">
    <w:name w:val="annotation reference"/>
    <w:basedOn w:val="DefaultParagraphFont"/>
    <w:uiPriority w:val="99"/>
    <w:semiHidden/>
    <w:unhideWhenUsed/>
    <w:rsid w:val="00251615"/>
    <w:rPr>
      <w:sz w:val="16"/>
      <w:szCs w:val="16"/>
    </w:rPr>
  </w:style>
  <w:style w:type="paragraph" w:styleId="CommentText">
    <w:name w:val="annotation text"/>
    <w:basedOn w:val="Normal"/>
    <w:link w:val="CommentTextChar"/>
    <w:uiPriority w:val="99"/>
    <w:unhideWhenUsed/>
    <w:rsid w:val="00251615"/>
    <w:pPr>
      <w:spacing w:after="160" w:line="240" w:lineRule="auto"/>
    </w:pPr>
    <w:rPr>
      <w:rFonts w:eastAsiaTheme="minorHAnsi"/>
      <w:color w:val="auto"/>
      <w:kern w:val="2"/>
      <w:lang w:eastAsia="en-US"/>
      <w14:ligatures w14:val="standardContextual"/>
    </w:rPr>
  </w:style>
  <w:style w:type="character" w:customStyle="1" w:styleId="CommentTextChar">
    <w:name w:val="Comment Text Char"/>
    <w:basedOn w:val="DefaultParagraphFont"/>
    <w:link w:val="CommentText"/>
    <w:uiPriority w:val="99"/>
    <w:rsid w:val="00251615"/>
    <w:rPr>
      <w:rFonts w:eastAsiaTheme="minorHAnsi"/>
      <w:kern w:val="2"/>
      <w:sz w:val="20"/>
      <w:szCs w:val="20"/>
      <w:lang w:eastAsia="en-US"/>
      <w14:ligatures w14:val="standardContextual"/>
    </w:rPr>
  </w:style>
  <w:style w:type="paragraph" w:styleId="ListParagraph">
    <w:name w:val="List Paragraph"/>
    <w:basedOn w:val="Normal"/>
    <w:uiPriority w:val="34"/>
    <w:qFormat/>
    <w:rsid w:val="00DD3A45"/>
    <w:pPr>
      <w:spacing w:after="160" w:line="278" w:lineRule="auto"/>
      <w:ind w:left="720"/>
      <w:contextualSpacing/>
    </w:pPr>
    <w:rPr>
      <w:rFonts w:eastAsiaTheme="minorHAnsi"/>
      <w:color w:val="auto"/>
      <w:kern w:val="2"/>
      <w:sz w:val="24"/>
      <w:szCs w:val="24"/>
      <w:lang w:eastAsia="en-US"/>
      <w14:ligatures w14:val="standardContextual"/>
    </w:rPr>
  </w:style>
  <w:style w:type="paragraph" w:styleId="Revision">
    <w:name w:val="Revision"/>
    <w:hidden/>
    <w:uiPriority w:val="99"/>
    <w:semiHidden/>
    <w:rsid w:val="001A6553"/>
    <w:rPr>
      <w:color w:val="58626E" w:themeColor="text2"/>
      <w:sz w:val="20"/>
      <w:szCs w:val="20"/>
    </w:rPr>
  </w:style>
  <w:style w:type="paragraph" w:customStyle="1" w:styleId="paragraph">
    <w:name w:val="paragraph"/>
    <w:basedOn w:val="Normal"/>
    <w:rsid w:val="00E16991"/>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E16991"/>
  </w:style>
  <w:style w:type="character" w:customStyle="1" w:styleId="tabchar">
    <w:name w:val="tabchar"/>
    <w:basedOn w:val="DefaultParagraphFont"/>
    <w:rsid w:val="00E1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1\AppData\Local\Temp\7zO86A46040\BPF_Consultation%20template_v2.dotx" TargetMode="External"/></Relationships>
</file>

<file path=word/theme/theme1.xml><?xml version="1.0" encoding="utf-8"?>
<a:theme xmlns:a="http://schemas.openxmlformats.org/drawingml/2006/main" name="Office Theme">
  <a:themeElements>
    <a:clrScheme name="BPF colour theme">
      <a:dk1>
        <a:sysClr val="windowText" lastClr="000000"/>
      </a:dk1>
      <a:lt1>
        <a:sysClr val="window" lastClr="FFFFFF"/>
      </a:lt1>
      <a:dk2>
        <a:srgbClr val="58626E"/>
      </a:dk2>
      <a:lt2>
        <a:srgbClr val="E7E6E6"/>
      </a:lt2>
      <a:accent1>
        <a:srgbClr val="198EC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PF font theme">
      <a:majorFont>
        <a:latin typeface="Open Sans Extra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0B99B90759F8418E10CBFBDA76CD0C" ma:contentTypeVersion="19" ma:contentTypeDescription="Create a new document." ma:contentTypeScope="" ma:versionID="9369c6fc091362f2ee91cc549341d57c">
  <xsd:schema xmlns:xsd="http://www.w3.org/2001/XMLSchema" xmlns:xs="http://www.w3.org/2001/XMLSchema" xmlns:p="http://schemas.microsoft.com/office/2006/metadata/properties" xmlns:ns2="b8920b28-e74f-423e-a588-7b0852b2e168" xmlns:ns3="89282885-2a61-4f59-8308-712f1b3cd72c" targetNamespace="http://schemas.microsoft.com/office/2006/metadata/properties" ma:root="true" ma:fieldsID="5e3aad2938d7cfc8716e0c03fdb5872c" ns2:_="" ns3:_="">
    <xsd:import namespace="b8920b28-e74f-423e-a588-7b0852b2e168"/>
    <xsd:import namespace="89282885-2a61-4f59-8308-712f1b3cd7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0b28-e74f-423e-a588-7b0852b2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72ff15-131d-4eef-a922-27e9562486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82885-2a61-4f59-8308-712f1b3cd7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a4a335-ab24-4e68-8dc6-00cf44973815}" ma:internalName="TaxCatchAll" ma:showField="CatchAllData" ma:web="89282885-2a61-4f59-8308-712f1b3cd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82885-2a61-4f59-8308-712f1b3cd72c" xsi:nil="true"/>
    <lcf76f155ced4ddcb4097134ff3c332f xmlns="b8920b28-e74f-423e-a588-7b0852b2e1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B5883-A314-43A7-91AD-2B8AB15BCE4F}">
  <ds:schemaRefs>
    <ds:schemaRef ds:uri="http://schemas.openxmlformats.org/officeDocument/2006/bibliography"/>
  </ds:schemaRefs>
</ds:datastoreItem>
</file>

<file path=customXml/itemProps2.xml><?xml version="1.0" encoding="utf-8"?>
<ds:datastoreItem xmlns:ds="http://schemas.openxmlformats.org/officeDocument/2006/customXml" ds:itemID="{86655AA2-10AF-4659-9234-E685D09C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0b28-e74f-423e-a588-7b0852b2e168"/>
    <ds:schemaRef ds:uri="89282885-2a61-4f59-8308-712f1b3cd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4511C-88D5-4CE4-879C-57EF716555EA}">
  <ds:schemaRefs>
    <ds:schemaRef ds:uri="http://schemas.microsoft.com/office/2006/metadata/properties"/>
    <ds:schemaRef ds:uri="http://schemas.microsoft.com/office/infopath/2007/PartnerControls"/>
    <ds:schemaRef ds:uri="89282885-2a61-4f59-8308-712f1b3cd72c"/>
    <ds:schemaRef ds:uri="b8920b28-e74f-423e-a588-7b0852b2e168"/>
  </ds:schemaRefs>
</ds:datastoreItem>
</file>

<file path=customXml/itemProps4.xml><?xml version="1.0" encoding="utf-8"?>
<ds:datastoreItem xmlns:ds="http://schemas.openxmlformats.org/officeDocument/2006/customXml" ds:itemID="{62A3B9F9-F79C-467B-BE3A-75B30940F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BPF_Consultation template_v2</Template>
  <TotalTime>1</TotalTime>
  <Pages>6</Pages>
  <Words>2001</Words>
  <Characters>11607</Characters>
  <Application>Microsoft Office Word</Application>
  <DocSecurity>0</DocSecurity>
  <Lines>257</Lines>
  <Paragraphs>96</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James Simondson</dc:creator>
  <cp:keywords/>
  <dc:description/>
  <cp:lastModifiedBy>Jordan McCay</cp:lastModifiedBy>
  <cp:revision>2</cp:revision>
  <dcterms:created xsi:type="dcterms:W3CDTF">2026-01-22T13:30:00Z</dcterms:created>
  <dcterms:modified xsi:type="dcterms:W3CDTF">2026-01-22T13:30:00Z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0x010100B90B99B90759F8418E10CBFBDA76CD0C</vt:lpwstr>
  </property>
  <property fmtid="{D5CDD505-2E9C-101B-9397-08002B2CF9AE}" pid="3" name="MediaServiceImageTags">
    <vt:lpwstr/>
  </property>
</Properties>
</file>