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812CC4" w14:textId="77777777" w:rsidR="00E67EFF" w:rsidRDefault="00B33079" w:rsidP="00E67EFF">
      <w:r>
        <w:rPr>
          <w:noProof/>
        </w:rPr>
        <w:drawing>
          <wp:anchor distT="0" distB="0" distL="114300" distR="114300" simplePos="0" relativeHeight="251661312" behindDoc="0" locked="1" layoutInCell="1" allowOverlap="1" wp14:anchorId="0F677FB8" wp14:editId="109B7D1B">
            <wp:simplePos x="0" y="0"/>
            <wp:positionH relativeFrom="page">
              <wp:posOffset>648335</wp:posOffset>
            </wp:positionH>
            <wp:positionV relativeFrom="page">
              <wp:posOffset>540385</wp:posOffset>
            </wp:positionV>
            <wp:extent cx="1044000" cy="673200"/>
            <wp:effectExtent l="0" t="0" r="381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44000" cy="673200"/>
                    </a:xfrm>
                    <a:prstGeom prst="rect">
                      <a:avLst/>
                    </a:prstGeom>
                  </pic:spPr>
                </pic:pic>
              </a:graphicData>
            </a:graphic>
            <wp14:sizeRelH relativeFrom="margin">
              <wp14:pctWidth>0</wp14:pctWidth>
            </wp14:sizeRelH>
            <wp14:sizeRelV relativeFrom="margin">
              <wp14:pctHeight>0</wp14:pctHeight>
            </wp14:sizeRelV>
          </wp:anchor>
        </w:drawing>
      </w:r>
      <w:r w:rsidR="00B906C8">
        <w:rPr>
          <w:noProof/>
        </w:rPr>
        <mc:AlternateContent>
          <mc:Choice Requires="wps">
            <w:drawing>
              <wp:anchor distT="0" distB="0" distL="114300" distR="114300" simplePos="0" relativeHeight="251660288" behindDoc="0" locked="1" layoutInCell="1" allowOverlap="1" wp14:anchorId="381B1E52" wp14:editId="0366FB65">
                <wp:simplePos x="0" y="0"/>
                <wp:positionH relativeFrom="margin">
                  <wp:align>left</wp:align>
                </wp:positionH>
                <wp:positionV relativeFrom="page">
                  <wp:posOffset>9289415</wp:posOffset>
                </wp:positionV>
                <wp:extent cx="1886400" cy="108000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1886400" cy="1080000"/>
                        </a:xfrm>
                        <a:prstGeom prst="rect">
                          <a:avLst/>
                        </a:prstGeom>
                        <a:noFill/>
                        <a:ln w="6350">
                          <a:noFill/>
                        </a:ln>
                      </wps:spPr>
                      <wps:txbx>
                        <w:txbxContent>
                          <w:tbl>
                            <w:tblPr>
                              <w:tblStyle w:val="TableGrid"/>
                              <w:tblW w:w="2778" w:type="dxa"/>
                              <w:tblBorders>
                                <w:top w:val="single" w:sz="8" w:space="0" w:color="FFFFFF" w:themeColor="background1"/>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778"/>
                            </w:tblGrid>
                            <w:tr w:rsidR="00B906C8" w:rsidRPr="00D63730" w14:paraId="3A3B7DAA" w14:textId="77777777" w:rsidTr="00AA6B7F">
                              <w:tc>
                                <w:tcPr>
                                  <w:tcW w:w="2722" w:type="dxa"/>
                                </w:tcPr>
                                <w:p w14:paraId="6B8CA705" w14:textId="77777777" w:rsidR="00B906C8" w:rsidRDefault="00B906C8" w:rsidP="00B906C8">
                                  <w:pPr>
                                    <w:spacing w:line="220" w:lineRule="atLeast"/>
                                    <w:rPr>
                                      <w:rFonts w:ascii="Open Sans" w:hAnsi="Open Sans" w:cs="Open Sans"/>
                                      <w:color w:val="FFFFFF" w:themeColor="background1"/>
                                      <w:sz w:val="18"/>
                                      <w:szCs w:val="18"/>
                                    </w:rPr>
                                  </w:pPr>
                                </w:p>
                                <w:p w14:paraId="0DF06195" w14:textId="77777777" w:rsidR="00B906C8" w:rsidRPr="00D63730" w:rsidRDefault="00B906C8" w:rsidP="00B906C8">
                                  <w:pPr>
                                    <w:spacing w:line="220" w:lineRule="atLeast"/>
                                    <w:rPr>
                                      <w:rFonts w:ascii="Open Sans" w:hAnsi="Open Sans" w:cs="Open Sans"/>
                                      <w:b/>
                                      <w:bCs/>
                                      <w:caps/>
                                      <w:color w:val="FFFFFF" w:themeColor="background1"/>
                                      <w:sz w:val="18"/>
                                      <w:szCs w:val="18"/>
                                    </w:rPr>
                                  </w:pPr>
                                  <w:r w:rsidRPr="00D63730">
                                    <w:rPr>
                                      <w:rFonts w:ascii="Open Sans" w:hAnsi="Open Sans" w:cs="Open Sans"/>
                                      <w:b/>
                                      <w:bCs/>
                                      <w:caps/>
                                      <w:color w:val="FFFFFF" w:themeColor="background1"/>
                                      <w:sz w:val="18"/>
                                      <w:szCs w:val="18"/>
                                    </w:rPr>
                                    <w:t>Prepared and submitted by</w:t>
                                  </w:r>
                                </w:p>
                                <w:p w14:paraId="59DC40DB" w14:textId="0F5B8462" w:rsidR="00B906C8" w:rsidRPr="00D63730" w:rsidRDefault="00607E06" w:rsidP="00B906C8">
                                  <w:pPr>
                                    <w:spacing w:line="220" w:lineRule="atLeast"/>
                                    <w:rPr>
                                      <w:rFonts w:ascii="Open Sans" w:hAnsi="Open Sans" w:cs="Open Sans"/>
                                      <w:color w:val="FFFFFF" w:themeColor="background1"/>
                                      <w:sz w:val="18"/>
                                      <w:szCs w:val="18"/>
                                    </w:rPr>
                                  </w:pPr>
                                  <w:r>
                                    <w:rPr>
                                      <w:rFonts w:ascii="Open Sans" w:hAnsi="Open Sans" w:cs="Open Sans"/>
                                      <w:color w:val="FFFFFF" w:themeColor="background1"/>
                                      <w:sz w:val="18"/>
                                      <w:szCs w:val="18"/>
                                    </w:rPr>
                                    <w:t>Jordan McCay</w:t>
                                  </w:r>
                                </w:p>
                                <w:p w14:paraId="71B10672" w14:textId="151BA4FB" w:rsidR="00B906C8" w:rsidRPr="00D63730" w:rsidRDefault="00607E06" w:rsidP="00B906C8">
                                  <w:pPr>
                                    <w:spacing w:line="220" w:lineRule="atLeast"/>
                                    <w:rPr>
                                      <w:rFonts w:ascii="Open Sans" w:hAnsi="Open Sans" w:cs="Open Sans"/>
                                      <w:color w:val="FFFFFF" w:themeColor="background1"/>
                                      <w:sz w:val="18"/>
                                      <w:szCs w:val="18"/>
                                    </w:rPr>
                                  </w:pPr>
                                  <w:r>
                                    <w:rPr>
                                      <w:rFonts w:ascii="Open Sans" w:hAnsi="Open Sans" w:cs="Open Sans"/>
                                      <w:color w:val="FFFFFF" w:themeColor="background1"/>
                                      <w:sz w:val="18"/>
                                      <w:szCs w:val="18"/>
                                    </w:rPr>
                                    <w:t>Policy Officer</w:t>
                                  </w:r>
                                </w:p>
                                <w:p w14:paraId="2F512B0B" w14:textId="097B4D50" w:rsidR="00B906C8" w:rsidRPr="00D63730" w:rsidRDefault="00B906C8" w:rsidP="00B906C8">
                                  <w:pPr>
                                    <w:spacing w:line="220" w:lineRule="atLeast"/>
                                    <w:rPr>
                                      <w:rFonts w:ascii="Open Sans" w:hAnsi="Open Sans" w:cs="Open Sans"/>
                                      <w:color w:val="FFFFFF" w:themeColor="background1"/>
                                      <w:sz w:val="18"/>
                                      <w:szCs w:val="18"/>
                                    </w:rPr>
                                  </w:pPr>
                                  <w:r w:rsidRPr="00D63730">
                                    <w:rPr>
                                      <w:rFonts w:ascii="Open Sans" w:hAnsi="Open Sans" w:cs="Open Sans"/>
                                      <w:color w:val="FFFFFF" w:themeColor="background1"/>
                                      <w:sz w:val="18"/>
                                      <w:szCs w:val="18"/>
                                    </w:rPr>
                                    <w:t xml:space="preserve">T: </w:t>
                                  </w:r>
                                  <w:r w:rsidR="00607E06" w:rsidRPr="00607E06">
                                    <w:rPr>
                                      <w:rFonts w:ascii="Open Sans" w:hAnsi="Open Sans" w:cs="Open Sans"/>
                                      <w:color w:val="FFFFFF" w:themeColor="background1"/>
                                      <w:sz w:val="18"/>
                                      <w:szCs w:val="18"/>
                                    </w:rPr>
                                    <w:t>02078020116</w:t>
                                  </w:r>
                                </w:p>
                                <w:p w14:paraId="57ED0090" w14:textId="5ABDEA0D" w:rsidR="00B906C8" w:rsidRPr="00D63730" w:rsidRDefault="00B906C8" w:rsidP="00B906C8">
                                  <w:pPr>
                                    <w:spacing w:line="220" w:lineRule="atLeast"/>
                                    <w:rPr>
                                      <w:rFonts w:ascii="Open Sans" w:hAnsi="Open Sans" w:cs="Open Sans"/>
                                      <w:color w:val="FFFFFF" w:themeColor="background1"/>
                                      <w:sz w:val="18"/>
                                      <w:szCs w:val="18"/>
                                    </w:rPr>
                                  </w:pPr>
                                  <w:r w:rsidRPr="00D63730">
                                    <w:rPr>
                                      <w:rFonts w:ascii="Open Sans" w:hAnsi="Open Sans" w:cs="Open Sans"/>
                                      <w:color w:val="FFFFFF" w:themeColor="background1"/>
                                      <w:sz w:val="18"/>
                                      <w:szCs w:val="18"/>
                                    </w:rPr>
                                    <w:t xml:space="preserve">E: </w:t>
                                  </w:r>
                                  <w:r w:rsidR="00607E06">
                                    <w:rPr>
                                      <w:rFonts w:ascii="Open Sans" w:hAnsi="Open Sans" w:cs="Open Sans"/>
                                      <w:color w:val="FFFFFF" w:themeColor="background1"/>
                                      <w:sz w:val="18"/>
                                      <w:szCs w:val="18"/>
                                    </w:rPr>
                                    <w:t>jmccay@bpf.org.uk</w:t>
                                  </w:r>
                                </w:p>
                              </w:tc>
                            </w:tr>
                          </w:tbl>
                          <w:p w14:paraId="1750A512" w14:textId="77777777" w:rsidR="00B906C8" w:rsidRDefault="00B906C8"/>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1B1E52" id="_x0000_t202" coordsize="21600,21600" o:spt="202" path="m,l,21600r21600,l21600,xe">
                <v:stroke joinstyle="miter"/>
                <v:path gradientshapeok="t" o:connecttype="rect"/>
              </v:shapetype>
              <v:shape id="Text Box 3" o:spid="_x0000_s1026" type="#_x0000_t202" style="position:absolute;margin-left:0;margin-top:731.45pt;width:148.55pt;height:85.0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" filled="f" stroked="f" strokeweight=".5pt">
                <v:textbox inset="0,0,0,0">
                  <w:txbxContent>
                    <w:tbl>
                      <w:tblPr>
                        <w:tblStyle w:val="TableGrid"/>
                        <w:tblW w:w="2778" w:type="dxa"/>
                        <w:tblBorders>
                          <w:top w:val="single" w:sz="8" w:space="0" w:color="FFFFFF" w:themeColor="background1"/>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778"/>
                      </w:tblGrid>
                      <w:tr w:rsidR="00B906C8" w:rsidRPr="00D63730" w14:paraId="3A3B7DAA" w14:textId="77777777" w:rsidTr="00AA6B7F">
                        <w:tc>
                          <w:tcPr>
                            <w:tcW w:w="2722" w:type="dxa"/>
                          </w:tcPr>
                          <w:p w14:paraId="6B8CA705" w14:textId="77777777" w:rsidR="00B906C8" w:rsidRDefault="00B906C8" w:rsidP="00B906C8">
                            <w:pPr>
                              <w:spacing w:line="220" w:lineRule="atLeast"/>
                              <w:rPr>
                                <w:rFonts w:ascii="Open Sans" w:hAnsi="Open Sans" w:cs="Open Sans"/>
                                <w:color w:val="FFFFFF" w:themeColor="background1"/>
                                <w:sz w:val="18"/>
                                <w:szCs w:val="18"/>
                              </w:rPr>
                            </w:pPr>
                          </w:p>
                          <w:p w14:paraId="0DF06195" w14:textId="77777777" w:rsidR="00B906C8" w:rsidRPr="00D63730" w:rsidRDefault="00B906C8" w:rsidP="00B906C8">
                            <w:pPr>
                              <w:spacing w:line="220" w:lineRule="atLeast"/>
                              <w:rPr>
                                <w:rFonts w:ascii="Open Sans" w:hAnsi="Open Sans" w:cs="Open Sans"/>
                                <w:b/>
                                <w:bCs/>
                                <w:caps/>
                                <w:color w:val="FFFFFF" w:themeColor="background1"/>
                                <w:sz w:val="18"/>
                                <w:szCs w:val="18"/>
                              </w:rPr>
                            </w:pPr>
                            <w:r w:rsidRPr="00D63730">
                              <w:rPr>
                                <w:rFonts w:ascii="Open Sans" w:hAnsi="Open Sans" w:cs="Open Sans"/>
                                <w:b/>
                                <w:bCs/>
                                <w:caps/>
                                <w:color w:val="FFFFFF" w:themeColor="background1"/>
                                <w:sz w:val="18"/>
                                <w:szCs w:val="18"/>
                              </w:rPr>
                              <w:t>Prepared and submitted by</w:t>
                            </w:r>
                          </w:p>
                          <w:p w14:paraId="59DC40DB" w14:textId="0F5B8462" w:rsidR="00B906C8" w:rsidRPr="00D63730" w:rsidRDefault="00607E06" w:rsidP="00B906C8">
                            <w:pPr>
                              <w:spacing w:line="220" w:lineRule="atLeast"/>
                              <w:rPr>
                                <w:rFonts w:ascii="Open Sans" w:hAnsi="Open Sans" w:cs="Open Sans"/>
                                <w:color w:val="FFFFFF" w:themeColor="background1"/>
                                <w:sz w:val="18"/>
                                <w:szCs w:val="18"/>
                              </w:rPr>
                            </w:pPr>
                            <w:r>
                              <w:rPr>
                                <w:rFonts w:ascii="Open Sans" w:hAnsi="Open Sans" w:cs="Open Sans"/>
                                <w:color w:val="FFFFFF" w:themeColor="background1"/>
                                <w:sz w:val="18"/>
                                <w:szCs w:val="18"/>
                              </w:rPr>
                              <w:t>Jordan McCay</w:t>
                            </w:r>
                          </w:p>
                          <w:p w14:paraId="71B10672" w14:textId="151BA4FB" w:rsidR="00B906C8" w:rsidRPr="00D63730" w:rsidRDefault="00607E06" w:rsidP="00B906C8">
                            <w:pPr>
                              <w:spacing w:line="220" w:lineRule="atLeast"/>
                              <w:rPr>
                                <w:rFonts w:ascii="Open Sans" w:hAnsi="Open Sans" w:cs="Open Sans"/>
                                <w:color w:val="FFFFFF" w:themeColor="background1"/>
                                <w:sz w:val="18"/>
                                <w:szCs w:val="18"/>
                              </w:rPr>
                            </w:pPr>
                            <w:r>
                              <w:rPr>
                                <w:rFonts w:ascii="Open Sans" w:hAnsi="Open Sans" w:cs="Open Sans"/>
                                <w:color w:val="FFFFFF" w:themeColor="background1"/>
                                <w:sz w:val="18"/>
                                <w:szCs w:val="18"/>
                              </w:rPr>
                              <w:t>Policy Officer</w:t>
                            </w:r>
                          </w:p>
                          <w:p w14:paraId="2F512B0B" w14:textId="097B4D50" w:rsidR="00B906C8" w:rsidRPr="00D63730" w:rsidRDefault="00B906C8" w:rsidP="00B906C8">
                            <w:pPr>
                              <w:spacing w:line="220" w:lineRule="atLeast"/>
                              <w:rPr>
                                <w:rFonts w:ascii="Open Sans" w:hAnsi="Open Sans" w:cs="Open Sans"/>
                                <w:color w:val="FFFFFF" w:themeColor="background1"/>
                                <w:sz w:val="18"/>
                                <w:szCs w:val="18"/>
                              </w:rPr>
                            </w:pPr>
                            <w:r w:rsidRPr="00D63730">
                              <w:rPr>
                                <w:rFonts w:ascii="Open Sans" w:hAnsi="Open Sans" w:cs="Open Sans"/>
                                <w:color w:val="FFFFFF" w:themeColor="background1"/>
                                <w:sz w:val="18"/>
                                <w:szCs w:val="18"/>
                              </w:rPr>
                              <w:t xml:space="preserve">T: </w:t>
                            </w:r>
                            <w:r w:rsidR="00607E06" w:rsidRPr="00607E06">
                              <w:rPr>
                                <w:rFonts w:ascii="Open Sans" w:hAnsi="Open Sans" w:cs="Open Sans"/>
                                <w:color w:val="FFFFFF" w:themeColor="background1"/>
                                <w:sz w:val="18"/>
                                <w:szCs w:val="18"/>
                              </w:rPr>
                              <w:t>02078020116</w:t>
                            </w:r>
                          </w:p>
                          <w:p w14:paraId="57ED0090" w14:textId="5ABDEA0D" w:rsidR="00B906C8" w:rsidRPr="00D63730" w:rsidRDefault="00B906C8" w:rsidP="00B906C8">
                            <w:pPr>
                              <w:spacing w:line="220" w:lineRule="atLeast"/>
                              <w:rPr>
                                <w:rFonts w:ascii="Open Sans" w:hAnsi="Open Sans" w:cs="Open Sans"/>
                                <w:color w:val="FFFFFF" w:themeColor="background1"/>
                                <w:sz w:val="18"/>
                                <w:szCs w:val="18"/>
                              </w:rPr>
                            </w:pPr>
                            <w:r w:rsidRPr="00D63730">
                              <w:rPr>
                                <w:rFonts w:ascii="Open Sans" w:hAnsi="Open Sans" w:cs="Open Sans"/>
                                <w:color w:val="FFFFFF" w:themeColor="background1"/>
                                <w:sz w:val="18"/>
                                <w:szCs w:val="18"/>
                              </w:rPr>
                              <w:t xml:space="preserve">E: </w:t>
                            </w:r>
                            <w:r w:rsidR="00607E06">
                              <w:rPr>
                                <w:rFonts w:ascii="Open Sans" w:hAnsi="Open Sans" w:cs="Open Sans"/>
                                <w:color w:val="FFFFFF" w:themeColor="background1"/>
                                <w:sz w:val="18"/>
                                <w:szCs w:val="18"/>
                              </w:rPr>
                              <w:t>jmccay@bpf.org.uk</w:t>
                            </w:r>
                          </w:p>
                        </w:tc>
                      </w:tr>
                    </w:tbl>
                    <w:p w14:paraId="1750A512" w14:textId="77777777" w:rsidR="00B906C8" w:rsidRDefault="00B906C8"/>
                  </w:txbxContent>
                </v:textbox>
                <w10:wrap anchorx="margin" anchory="page"/>
                <w10:anchorlock/>
              </v:shape>
            </w:pict>
          </mc:Fallback>
        </mc:AlternateContent>
      </w:r>
    </w:p>
    <w:p w14:paraId="159F2BFB" w14:textId="77777777" w:rsidR="00E67EFF" w:rsidRDefault="00E67EFF" w:rsidP="00E67EFF"/>
    <w:p w14:paraId="1666E852" w14:textId="77777777" w:rsidR="00E67EFF" w:rsidRDefault="00E67EFF" w:rsidP="00E67EFF"/>
    <w:p w14:paraId="04EB44BF" w14:textId="77777777" w:rsidR="00E67EFF" w:rsidRDefault="00E67EFF" w:rsidP="00E67EFF"/>
    <w:p w14:paraId="70264A71" w14:textId="77777777" w:rsidR="00935236" w:rsidRDefault="00935236" w:rsidP="00935236">
      <w:pPr>
        <w:pStyle w:val="Reporttitle"/>
      </w:pPr>
      <w:r>
        <w:t>London Emergency Housing Package</w:t>
      </w:r>
    </w:p>
    <w:p w14:paraId="62803E07" w14:textId="786E88A5" w:rsidR="00E67EFF" w:rsidRDefault="00E67EFF" w:rsidP="00E67EFF">
      <w:pPr>
        <w:pStyle w:val="DocumentName"/>
      </w:pPr>
      <w:r>
        <w:t>Consultation response</w:t>
      </w:r>
    </w:p>
    <w:p w14:paraId="31D03FFC" w14:textId="77777777" w:rsidR="00935236" w:rsidRDefault="00935236" w:rsidP="00935236"/>
    <w:p w14:paraId="4E779F63" w14:textId="652D9019" w:rsidR="00421B06" w:rsidRDefault="00421B06" w:rsidP="00935236"/>
    <w:p w14:paraId="7F7D05DD" w14:textId="77777777" w:rsidR="00935236" w:rsidRDefault="00935236" w:rsidP="00935236"/>
    <w:p w14:paraId="496053A1" w14:textId="28D61161" w:rsidR="00935236" w:rsidRDefault="00935236" w:rsidP="00935236">
      <w:pPr>
        <w:sectPr w:rsidR="00935236" w:rsidSect="0067180B">
          <w:headerReference w:type="default" r:id="rId12"/>
          <w:footerReference w:type="default" r:id="rId13"/>
          <w:headerReference w:type="first" r:id="rId14"/>
          <w:pgSz w:w="11906" w:h="16838" w:code="9"/>
          <w:pgMar w:top="2892" w:right="851" w:bottom="1418" w:left="2353" w:header="680" w:footer="454" w:gutter="0"/>
          <w:cols w:space="708"/>
          <w:titlePg/>
          <w:docGrid w:linePitch="360"/>
        </w:sectPr>
      </w:pPr>
    </w:p>
    <w:p w14:paraId="3E56B71D" w14:textId="1ECEE901" w:rsidR="00935236" w:rsidRDefault="00935236" w:rsidP="6B02C682">
      <w:pPr>
        <w:pStyle w:val="Heading1"/>
        <w:spacing w:after="57" w:line="280" w:lineRule="atLeast"/>
        <w:rPr>
          <w:rFonts w:ascii="Open Sans" w:eastAsia="Open Sans" w:hAnsi="Open Sans" w:cs="Open Sans"/>
          <w:b/>
          <w:caps w:val="0"/>
          <w:color w:val="198DC9"/>
          <w:sz w:val="28"/>
          <w:szCs w:val="28"/>
        </w:rPr>
      </w:pPr>
      <w:r>
        <w:lastRenderedPageBreak/>
        <w:t>Introduction</w:t>
      </w:r>
      <w:r>
        <w:br/>
      </w:r>
      <w:r>
        <w:br/>
      </w:r>
      <w:r w:rsidR="035953C1" w:rsidRPr="6B02C682">
        <w:rPr>
          <w:rFonts w:ascii="Open Sans Light" w:eastAsia="Open Sans Light" w:hAnsi="Open Sans Light" w:cs="Open Sans Light"/>
          <w:bCs w:val="0"/>
          <w:caps w:val="0"/>
          <w:color w:val="58626E" w:themeColor="text2"/>
          <w:sz w:val="20"/>
          <w:szCs w:val="20"/>
        </w:rPr>
        <w:t xml:space="preserve">The British Property Federation (BPF) represents the real estate sector – an industry which contributed more than £116bn to the economy in 2020 and supported more than 2.4 million jobs. We promote the interests of those with a stake in the UK built environment, and our membership comprises a broad range of owners, managers and developers of real estate as well as those who support them. Their investments help drive the UK's economic success; provide essential infrastructure and create great places where people can live, work and relax.  </w:t>
      </w:r>
      <w:r>
        <w:br/>
      </w:r>
      <w:r>
        <w:br/>
      </w:r>
      <w:r>
        <w:br/>
      </w:r>
      <w:r w:rsidR="5FDD647F" w:rsidRPr="6B02C682">
        <w:rPr>
          <w:rFonts w:ascii="Open Sans" w:eastAsia="Open Sans" w:hAnsi="Open Sans" w:cs="Open Sans"/>
          <w:b/>
          <w:caps w:val="0"/>
          <w:color w:val="198DC9"/>
          <w:sz w:val="28"/>
          <w:szCs w:val="28"/>
        </w:rPr>
        <w:t>General comments</w:t>
      </w:r>
    </w:p>
    <w:p w14:paraId="1A143457" w14:textId="74C4C87E" w:rsidR="5FDD647F" w:rsidRDefault="5FDD647F" w:rsidP="6B02C682">
      <w:pPr>
        <w:spacing w:before="240" w:after="240"/>
        <w:rPr>
          <w:rFonts w:ascii="Open Sans Light" w:eastAsia="Open Sans Light" w:hAnsi="Open Sans Light" w:cs="Open Sans Light"/>
        </w:rPr>
      </w:pPr>
      <w:r w:rsidRPr="6B02C682">
        <w:rPr>
          <w:rFonts w:ascii="Open Sans Light" w:eastAsia="Open Sans Light" w:hAnsi="Open Sans Light" w:cs="Open Sans Light"/>
        </w:rPr>
        <w:t>The British Property Federation (BPF) welcomes the opportunity to respond to the Government’s consultation on the London Emergency Housing Package. We strongly support the objective of improving scheme viability and accelerating housing delivery across the capital. The introduction of a more standardi</w:t>
      </w:r>
      <w:r w:rsidR="00F92B30">
        <w:rPr>
          <w:rFonts w:ascii="Open Sans Light" w:eastAsia="Open Sans Light" w:hAnsi="Open Sans Light" w:cs="Open Sans Light"/>
        </w:rPr>
        <w:t>s</w:t>
      </w:r>
      <w:r w:rsidRPr="6B02C682">
        <w:rPr>
          <w:rFonts w:ascii="Open Sans Light" w:eastAsia="Open Sans Light" w:hAnsi="Open Sans Light" w:cs="Open Sans Light"/>
        </w:rPr>
        <w:t>ed, rules-based route to Community Infrastructure Levy (CIL) relief is a positive step toward replacing the current patchwork of local discretion that often results in lengthy negotiations and uncertainty.</w:t>
      </w:r>
    </w:p>
    <w:p w14:paraId="6617D530" w14:textId="1B83283B" w:rsidR="5FDD647F" w:rsidRDefault="5FDD647F" w:rsidP="6B02C682">
      <w:pPr>
        <w:spacing w:before="240" w:after="240"/>
        <w:rPr>
          <w:rFonts w:ascii="Open Sans Light" w:eastAsia="Open Sans Light" w:hAnsi="Open Sans Light" w:cs="Open Sans Light"/>
        </w:rPr>
      </w:pPr>
      <w:r w:rsidRPr="6B02C682">
        <w:rPr>
          <w:rFonts w:ascii="Open Sans Light" w:eastAsia="Open Sans Light" w:hAnsi="Open Sans Light" w:cs="Open Sans Light"/>
        </w:rPr>
        <w:t xml:space="preserve">However, the BPF is concerned that the measures, as currently proposed, may not go far enough to address the structural viability challenges </w:t>
      </w:r>
      <w:r w:rsidR="00F92B30">
        <w:rPr>
          <w:rFonts w:ascii="Open Sans Light" w:eastAsia="Open Sans Light" w:hAnsi="Open Sans Light" w:cs="Open Sans Light"/>
        </w:rPr>
        <w:t>particularly acute in</w:t>
      </w:r>
      <w:r w:rsidRPr="6B02C682">
        <w:rPr>
          <w:rFonts w:ascii="Open Sans Light" w:eastAsia="Open Sans Light" w:hAnsi="Open Sans Light" w:cs="Open Sans Light"/>
        </w:rPr>
        <w:t xml:space="preserve"> the London market. Our feedback focuses on four critical areas:</w:t>
      </w:r>
    </w:p>
    <w:p w14:paraId="27024BED" w14:textId="22093D13" w:rsidR="00A87602" w:rsidRDefault="5FDD647F" w:rsidP="00F92B30">
      <w:pPr>
        <w:pStyle w:val="ListParagraph"/>
        <w:keepNext/>
        <w:keepLines/>
        <w:numPr>
          <w:ilvl w:val="0"/>
          <w:numId w:val="7"/>
        </w:numPr>
        <w:spacing w:before="240" w:after="240" w:line="280" w:lineRule="atLeast"/>
        <w:rPr>
          <w:rFonts w:ascii="Open Sans Light" w:eastAsia="Open Sans Light" w:hAnsi="Open Sans Light" w:cs="Open Sans Light"/>
          <w:color w:val="58626E" w:themeColor="text2"/>
          <w:sz w:val="20"/>
          <w:szCs w:val="20"/>
        </w:rPr>
      </w:pPr>
      <w:r w:rsidRPr="00F92B30">
        <w:rPr>
          <w:rFonts w:ascii="Open Sans Light" w:eastAsia="Open Sans Light" w:hAnsi="Open Sans Light" w:cs="Open Sans Light"/>
          <w:b/>
          <w:bCs/>
          <w:color w:val="58626E" w:themeColor="text2"/>
          <w:sz w:val="20"/>
          <w:szCs w:val="20"/>
        </w:rPr>
        <w:t>Time Limitation</w:t>
      </w:r>
      <w:r w:rsidRPr="00F92B30">
        <w:rPr>
          <w:rFonts w:ascii="Open Sans Light" w:eastAsia="Open Sans Light" w:hAnsi="Open Sans Light" w:cs="Open Sans Light"/>
          <w:color w:val="58626E" w:themeColor="text2"/>
          <w:sz w:val="20"/>
          <w:szCs w:val="20"/>
        </w:rPr>
        <w:t>: The proposed relief window (ending March 2028) does not align with the realities of the development cycle for large-scale or multi-phased schemes, which often require at least seven years to deliver.</w:t>
      </w:r>
      <w:r w:rsidR="00F92B30" w:rsidRPr="00F92B30">
        <w:rPr>
          <w:rFonts w:ascii="Open Sans Light" w:eastAsia="Open Sans Light" w:hAnsi="Open Sans Light" w:cs="Open Sans Light"/>
          <w:color w:val="58626E" w:themeColor="text2"/>
          <w:sz w:val="20"/>
          <w:szCs w:val="20"/>
        </w:rPr>
        <w:t xml:space="preserve"> </w:t>
      </w:r>
      <w:r w:rsidR="00F92B30">
        <w:rPr>
          <w:rFonts w:ascii="Open Sans Light" w:eastAsia="Open Sans Light" w:hAnsi="Open Sans Light" w:cs="Open Sans Light"/>
          <w:color w:val="58626E" w:themeColor="text2"/>
          <w:sz w:val="20"/>
          <w:szCs w:val="20"/>
        </w:rPr>
        <w:t>Moreover, while there have been improvements to the timeliness of Gateway Two applications to the Building Safety Regulator, we do not feel it takes sufficient account of the additional headwinds present in the sector that further add to delivery timeframes.</w:t>
      </w:r>
      <w:r w:rsidR="00D370DB">
        <w:rPr>
          <w:rFonts w:ascii="Open Sans Light" w:eastAsia="Open Sans Light" w:hAnsi="Open Sans Light" w:cs="Open Sans Light"/>
          <w:color w:val="58626E" w:themeColor="text2"/>
          <w:sz w:val="20"/>
          <w:szCs w:val="20"/>
        </w:rPr>
        <w:t xml:space="preserve"> </w:t>
      </w:r>
      <w:r w:rsidR="00D370DB">
        <w:rPr>
          <w:rFonts w:ascii="Open Sans Light" w:eastAsia="Open Sans Light" w:hAnsi="Open Sans Light" w:cs="Open Sans Light"/>
          <w:color w:val="58626E" w:themeColor="text2"/>
          <w:sz w:val="20"/>
          <w:szCs w:val="20"/>
        </w:rPr>
        <w:t>Given the likely effective start of these measures not being until after the local elections in May 2026, and consequential processes to revive local planning committee mechanisms thereafter, the opportunities for meaningful acceleration of additional delivery appear slim without further flexibility in future.</w:t>
      </w:r>
    </w:p>
    <w:p w14:paraId="01138C20" w14:textId="071F9602" w:rsidR="00F92B30" w:rsidRPr="00F92B30" w:rsidRDefault="00F92B30" w:rsidP="00F92B30">
      <w:pPr>
        <w:pStyle w:val="ListParagraph"/>
        <w:keepNext/>
        <w:keepLines/>
        <w:numPr>
          <w:ilvl w:val="0"/>
          <w:numId w:val="7"/>
        </w:numPr>
        <w:spacing w:before="240" w:after="240" w:line="280" w:lineRule="atLeast"/>
        <w:rPr>
          <w:rFonts w:ascii="Open Sans Light" w:eastAsia="Open Sans Light" w:hAnsi="Open Sans Light" w:cs="Open Sans Light"/>
          <w:color w:val="58626E" w:themeColor="text2"/>
          <w:sz w:val="20"/>
          <w:szCs w:val="20"/>
        </w:rPr>
      </w:pPr>
      <w:r>
        <w:rPr>
          <w:rFonts w:ascii="Open Sans Light" w:eastAsia="Open Sans Light" w:hAnsi="Open Sans Light" w:cs="Open Sans Light"/>
          <w:b/>
          <w:bCs/>
          <w:color w:val="58626E" w:themeColor="text2"/>
          <w:sz w:val="20"/>
          <w:szCs w:val="20"/>
        </w:rPr>
        <w:t>Prohibitive fees and thresholds</w:t>
      </w:r>
      <w:r w:rsidRPr="4668A682">
        <w:rPr>
          <w:rFonts w:ascii="Open Sans Light" w:eastAsia="Open Sans Light" w:hAnsi="Open Sans Light" w:cs="Open Sans Light"/>
          <w:color w:val="58626E" w:themeColor="text2"/>
          <w:sz w:val="20"/>
          <w:szCs w:val="20"/>
        </w:rPr>
        <w:t xml:space="preserve">: The combination of a high borough-level CIL </w:t>
      </w:r>
      <w:r>
        <w:rPr>
          <w:rFonts w:ascii="Open Sans Light" w:eastAsia="Open Sans Light" w:hAnsi="Open Sans Light" w:cs="Open Sans Light"/>
          <w:color w:val="58626E" w:themeColor="text2"/>
          <w:sz w:val="20"/>
          <w:szCs w:val="20"/>
        </w:rPr>
        <w:t xml:space="preserve">liability </w:t>
      </w:r>
      <w:r w:rsidRPr="4668A682">
        <w:rPr>
          <w:rFonts w:ascii="Open Sans Light" w:eastAsia="Open Sans Light" w:hAnsi="Open Sans Light" w:cs="Open Sans Light"/>
          <w:color w:val="58626E" w:themeColor="text2"/>
          <w:sz w:val="20"/>
          <w:szCs w:val="20"/>
        </w:rPr>
        <w:t xml:space="preserve">threshold and a </w:t>
      </w:r>
      <w:r>
        <w:rPr>
          <w:rFonts w:ascii="Open Sans Light" w:eastAsia="Open Sans Light" w:hAnsi="Open Sans Light" w:cs="Open Sans Light"/>
          <w:color w:val="58626E" w:themeColor="text2"/>
          <w:sz w:val="20"/>
          <w:szCs w:val="20"/>
        </w:rPr>
        <w:t xml:space="preserve">flat </w:t>
      </w:r>
      <w:r w:rsidRPr="4668A682">
        <w:rPr>
          <w:rFonts w:ascii="Open Sans Light" w:eastAsia="Open Sans Light" w:hAnsi="Open Sans Light" w:cs="Open Sans Light"/>
          <w:color w:val="58626E" w:themeColor="text2"/>
          <w:sz w:val="20"/>
          <w:szCs w:val="20"/>
        </w:rPr>
        <w:t xml:space="preserve">£25,000 application fee </w:t>
      </w:r>
      <w:r>
        <w:rPr>
          <w:rFonts w:ascii="Open Sans Light" w:eastAsia="Open Sans Light" w:hAnsi="Open Sans Light" w:cs="Open Sans Light"/>
          <w:color w:val="58626E" w:themeColor="text2"/>
          <w:sz w:val="20"/>
          <w:szCs w:val="20"/>
        </w:rPr>
        <w:t xml:space="preserve">will create </w:t>
      </w:r>
      <w:r w:rsidRPr="4668A682">
        <w:rPr>
          <w:rFonts w:ascii="Open Sans Light" w:eastAsia="Open Sans Light" w:hAnsi="Open Sans Light" w:cs="Open Sans Light"/>
          <w:color w:val="58626E" w:themeColor="text2"/>
          <w:sz w:val="20"/>
          <w:szCs w:val="20"/>
        </w:rPr>
        <w:t>a significant barrier for SME builders—the group most likely to commence construction quickly once consent is secured.</w:t>
      </w:r>
      <w:r>
        <w:rPr>
          <w:rFonts w:ascii="Open Sans Light" w:eastAsia="Open Sans Light" w:hAnsi="Open Sans Light" w:cs="Open Sans Light"/>
          <w:color w:val="58626E" w:themeColor="text2"/>
          <w:sz w:val="20"/>
          <w:szCs w:val="20"/>
        </w:rPr>
        <w:t xml:space="preserve"> More fundamentally, given the wide range of borough-level CIL rates, there is a significant risk that the </w:t>
      </w:r>
      <w:r w:rsidR="00FF0554">
        <w:rPr>
          <w:rFonts w:ascii="Open Sans Light" w:eastAsia="Open Sans Light" w:hAnsi="Open Sans Light" w:cs="Open Sans Light"/>
          <w:color w:val="58626E" w:themeColor="text2"/>
          <w:sz w:val="20"/>
          <w:szCs w:val="20"/>
        </w:rPr>
        <w:t xml:space="preserve">high </w:t>
      </w:r>
      <w:r>
        <w:rPr>
          <w:rFonts w:ascii="Open Sans Light" w:eastAsia="Open Sans Light" w:hAnsi="Open Sans Light" w:cs="Open Sans Light"/>
          <w:color w:val="58626E" w:themeColor="text2"/>
          <w:sz w:val="20"/>
          <w:szCs w:val="20"/>
        </w:rPr>
        <w:t>£500,000 threshold leaves many medium-to-large high-density developments ineligible for relief, undermining the overall policy aim.</w:t>
      </w:r>
    </w:p>
    <w:p w14:paraId="60FB1C3D" w14:textId="24A9563A" w:rsidR="5FDD647F" w:rsidRPr="00F92B30" w:rsidRDefault="5FDD647F" w:rsidP="6B02C682">
      <w:pPr>
        <w:pStyle w:val="ListParagraph"/>
        <w:numPr>
          <w:ilvl w:val="0"/>
          <w:numId w:val="7"/>
        </w:numPr>
        <w:spacing w:before="240" w:after="240"/>
        <w:rPr>
          <w:rFonts w:ascii="Open Sans Light" w:eastAsia="Open Sans Light" w:hAnsi="Open Sans Light" w:cs="Open Sans Light"/>
          <w:color w:val="58626E" w:themeColor="text2"/>
          <w:sz w:val="20"/>
          <w:szCs w:val="20"/>
        </w:rPr>
      </w:pPr>
      <w:r w:rsidRPr="00F92B30">
        <w:rPr>
          <w:rFonts w:ascii="Open Sans Light" w:eastAsia="Open Sans Light" w:hAnsi="Open Sans Light" w:cs="Open Sans Light"/>
          <w:b/>
          <w:bCs/>
          <w:color w:val="58626E" w:themeColor="text2"/>
          <w:sz w:val="20"/>
          <w:szCs w:val="20"/>
        </w:rPr>
        <w:t>Inclusivity of Housing Models</w:t>
      </w:r>
      <w:r w:rsidRPr="00F92B30">
        <w:rPr>
          <w:rFonts w:ascii="Open Sans Light" w:eastAsia="Open Sans Light" w:hAnsi="Open Sans Light" w:cs="Open Sans Light"/>
          <w:color w:val="58626E" w:themeColor="text2"/>
          <w:sz w:val="20"/>
          <w:szCs w:val="20"/>
        </w:rPr>
        <w:t xml:space="preserve">: To truly unlock supply, the relief must </w:t>
      </w:r>
      <w:r w:rsidR="00D370DB">
        <w:rPr>
          <w:rFonts w:ascii="Open Sans Light" w:eastAsia="Open Sans Light" w:hAnsi="Open Sans Light" w:cs="Open Sans Light"/>
          <w:color w:val="58626E" w:themeColor="text2"/>
          <w:sz w:val="20"/>
          <w:szCs w:val="20"/>
        </w:rPr>
        <w:t xml:space="preserve">also </w:t>
      </w:r>
      <w:r w:rsidRPr="00F92B30">
        <w:rPr>
          <w:rFonts w:ascii="Open Sans Light" w:eastAsia="Open Sans Light" w:hAnsi="Open Sans Light" w:cs="Open Sans Light"/>
          <w:color w:val="58626E" w:themeColor="text2"/>
          <w:sz w:val="20"/>
          <w:szCs w:val="20"/>
        </w:rPr>
        <w:t xml:space="preserve">be accessible to modern residential models, including </w:t>
      </w:r>
      <w:r w:rsidR="00D370DB">
        <w:rPr>
          <w:rFonts w:ascii="Open Sans Light" w:eastAsia="Open Sans Light" w:hAnsi="Open Sans Light" w:cs="Open Sans Light"/>
          <w:color w:val="58626E" w:themeColor="text2"/>
          <w:sz w:val="20"/>
          <w:szCs w:val="20"/>
        </w:rPr>
        <w:t>C</w:t>
      </w:r>
      <w:r w:rsidRPr="00F92B30">
        <w:rPr>
          <w:rFonts w:ascii="Open Sans Light" w:eastAsia="Open Sans Light" w:hAnsi="Open Sans Light" w:cs="Open Sans Light"/>
          <w:color w:val="58626E" w:themeColor="text2"/>
          <w:sz w:val="20"/>
          <w:szCs w:val="20"/>
        </w:rPr>
        <w:t>o-</w:t>
      </w:r>
      <w:r w:rsidR="00D370DB">
        <w:rPr>
          <w:rFonts w:ascii="Open Sans Light" w:eastAsia="Open Sans Light" w:hAnsi="Open Sans Light" w:cs="Open Sans Light"/>
          <w:color w:val="58626E" w:themeColor="text2"/>
          <w:sz w:val="20"/>
          <w:szCs w:val="20"/>
        </w:rPr>
        <w:t>L</w:t>
      </w:r>
      <w:r w:rsidRPr="00F92B30">
        <w:rPr>
          <w:rFonts w:ascii="Open Sans Light" w:eastAsia="Open Sans Light" w:hAnsi="Open Sans Light" w:cs="Open Sans Light"/>
          <w:color w:val="58626E" w:themeColor="text2"/>
          <w:sz w:val="20"/>
          <w:szCs w:val="20"/>
        </w:rPr>
        <w:t>iving and Purpose-Built Student Accommodation (PBSA), which are</w:t>
      </w:r>
      <w:r w:rsidR="00D370DB">
        <w:rPr>
          <w:rFonts w:ascii="Open Sans Light" w:eastAsia="Open Sans Light" w:hAnsi="Open Sans Light" w:cs="Open Sans Light"/>
          <w:color w:val="58626E" w:themeColor="text2"/>
          <w:sz w:val="20"/>
          <w:szCs w:val="20"/>
        </w:rPr>
        <w:t xml:space="preserve"> also</w:t>
      </w:r>
      <w:r w:rsidRPr="00F92B30">
        <w:rPr>
          <w:rFonts w:ascii="Open Sans Light" w:eastAsia="Open Sans Light" w:hAnsi="Open Sans Light" w:cs="Open Sans Light"/>
          <w:color w:val="58626E" w:themeColor="text2"/>
          <w:sz w:val="20"/>
          <w:szCs w:val="20"/>
        </w:rPr>
        <w:t xml:space="preserve"> currently facing severe viability pressures.</w:t>
      </w:r>
    </w:p>
    <w:p w14:paraId="126BAD82" w14:textId="67EB03EC" w:rsidR="5FDD647F" w:rsidRDefault="5FDD647F" w:rsidP="6B02C682">
      <w:pPr>
        <w:pStyle w:val="ListParagraph"/>
        <w:numPr>
          <w:ilvl w:val="0"/>
          <w:numId w:val="7"/>
        </w:numPr>
        <w:spacing w:before="240" w:after="240"/>
        <w:rPr>
          <w:rFonts w:ascii="Open Sans Light" w:eastAsia="Open Sans Light" w:hAnsi="Open Sans Light" w:cs="Open Sans Light"/>
          <w:color w:val="58626E" w:themeColor="text2"/>
          <w:sz w:val="20"/>
          <w:szCs w:val="20"/>
        </w:rPr>
      </w:pPr>
      <w:r w:rsidRPr="6B02C682">
        <w:rPr>
          <w:rFonts w:ascii="Open Sans Light" w:eastAsia="Open Sans Light" w:hAnsi="Open Sans Light" w:cs="Open Sans Light"/>
          <w:b/>
          <w:bCs/>
          <w:color w:val="58626E" w:themeColor="text2"/>
          <w:sz w:val="20"/>
          <w:szCs w:val="20"/>
        </w:rPr>
        <w:t>Meaningful Incentives</w:t>
      </w:r>
      <w:r w:rsidRPr="6B02C682">
        <w:rPr>
          <w:rFonts w:ascii="Open Sans Light" w:eastAsia="Open Sans Light" w:hAnsi="Open Sans Light" w:cs="Open Sans Light"/>
          <w:color w:val="58626E" w:themeColor="text2"/>
          <w:sz w:val="20"/>
          <w:szCs w:val="20"/>
        </w:rPr>
        <w:t xml:space="preserve">: A 50% relief for 20% affordable housing </w:t>
      </w:r>
      <w:r w:rsidR="00E402BD">
        <w:rPr>
          <w:rFonts w:ascii="Open Sans Light" w:eastAsia="Open Sans Light" w:hAnsi="Open Sans Light" w:cs="Open Sans Light"/>
          <w:color w:val="58626E" w:themeColor="text2"/>
          <w:sz w:val="20"/>
          <w:szCs w:val="20"/>
        </w:rPr>
        <w:t xml:space="preserve">will prove </w:t>
      </w:r>
      <w:r w:rsidRPr="6B02C682">
        <w:rPr>
          <w:rFonts w:ascii="Open Sans Light" w:eastAsia="Open Sans Light" w:hAnsi="Open Sans Light" w:cs="Open Sans Light"/>
          <w:color w:val="58626E" w:themeColor="text2"/>
          <w:sz w:val="20"/>
          <w:szCs w:val="20"/>
        </w:rPr>
        <w:t>insufficient to overcome wider cost pressures like construction inflation and financing costs. We urge the Government to consider higher levels of relief, or zero-CIL for specific priority sectors</w:t>
      </w:r>
      <w:r w:rsidR="00E402BD">
        <w:rPr>
          <w:rFonts w:ascii="Open Sans Light" w:eastAsia="Open Sans Light" w:hAnsi="Open Sans Light" w:cs="Open Sans Light"/>
          <w:color w:val="58626E" w:themeColor="text2"/>
          <w:sz w:val="20"/>
          <w:szCs w:val="20"/>
        </w:rPr>
        <w:t xml:space="preserve"> such for SME developers or development on Brownfield sites</w:t>
      </w:r>
      <w:r w:rsidRPr="6B02C682">
        <w:rPr>
          <w:rFonts w:ascii="Open Sans Light" w:eastAsia="Open Sans Light" w:hAnsi="Open Sans Light" w:cs="Open Sans Light"/>
          <w:color w:val="58626E" w:themeColor="text2"/>
          <w:sz w:val="20"/>
          <w:szCs w:val="20"/>
        </w:rPr>
        <w:t>, to ensure these measures achieve their intended impact.</w:t>
      </w:r>
    </w:p>
    <w:p w14:paraId="09573DEE" w14:textId="1A1C4114" w:rsidR="00935236" w:rsidRDefault="002229DE" w:rsidP="00935236">
      <w:pPr>
        <w:rPr>
          <w:rFonts w:ascii="Open Sans Light" w:eastAsia="Open Sans Light" w:hAnsi="Open Sans Light" w:cs="Open Sans Light"/>
        </w:rPr>
      </w:pPr>
      <w:r>
        <w:rPr>
          <w:rFonts w:ascii="Open Sans Light" w:eastAsia="Open Sans Light" w:hAnsi="Open Sans Light" w:cs="Open Sans Light"/>
        </w:rPr>
        <w:lastRenderedPageBreak/>
        <w:t>The</w:t>
      </w:r>
      <w:r w:rsidR="00E402BD" w:rsidRPr="4668A682">
        <w:rPr>
          <w:rFonts w:ascii="Open Sans Light" w:eastAsia="Open Sans Light" w:hAnsi="Open Sans Light" w:cs="Open Sans Light"/>
        </w:rPr>
        <w:t xml:space="preserve"> BPF </w:t>
      </w:r>
      <w:r w:rsidR="00E402BD">
        <w:rPr>
          <w:rFonts w:ascii="Open Sans Light" w:eastAsia="Open Sans Light" w:hAnsi="Open Sans Light" w:cs="Open Sans Light"/>
        </w:rPr>
        <w:t xml:space="preserve">is </w:t>
      </w:r>
      <w:r w:rsidR="00E402BD" w:rsidRPr="4668A682">
        <w:rPr>
          <w:rFonts w:ascii="Open Sans Light" w:eastAsia="Open Sans Light" w:hAnsi="Open Sans Light" w:cs="Open Sans Light"/>
        </w:rPr>
        <w:t xml:space="preserve">committed to working with the Government to refine these proposals into a </w:t>
      </w:r>
      <w:r w:rsidR="00E402BD">
        <w:rPr>
          <w:rFonts w:ascii="Open Sans Light" w:eastAsia="Open Sans Light" w:hAnsi="Open Sans Light" w:cs="Open Sans Light"/>
        </w:rPr>
        <w:t>set of interventions</w:t>
      </w:r>
      <w:r w:rsidR="00E402BD" w:rsidRPr="4668A682">
        <w:rPr>
          <w:rFonts w:ascii="Open Sans Light" w:eastAsia="Open Sans Light" w:hAnsi="Open Sans Light" w:cs="Open Sans Light"/>
        </w:rPr>
        <w:t xml:space="preserve"> that </w:t>
      </w:r>
      <w:r w:rsidR="00E402BD">
        <w:rPr>
          <w:rFonts w:ascii="Open Sans Light" w:eastAsia="Open Sans Light" w:hAnsi="Open Sans Light" w:cs="Open Sans Light"/>
        </w:rPr>
        <w:t xml:space="preserve">better </w:t>
      </w:r>
      <w:r w:rsidR="00E402BD" w:rsidRPr="4668A682">
        <w:rPr>
          <w:rFonts w:ascii="Open Sans Light" w:eastAsia="Open Sans Light" w:hAnsi="Open Sans Light" w:cs="Open Sans Light"/>
        </w:rPr>
        <w:t>provide the certainty and scale needed to meet London's urgent housing needs</w:t>
      </w:r>
      <w:r w:rsidR="00E402BD">
        <w:rPr>
          <w:rFonts w:ascii="Open Sans Light" w:eastAsia="Open Sans Light" w:hAnsi="Open Sans Light" w:cs="Open Sans Light"/>
        </w:rPr>
        <w:t>, while also balancing the fiscal and administrative considerations clearly set out in the consultation</w:t>
      </w:r>
    </w:p>
    <w:p w14:paraId="49F431C5" w14:textId="77777777" w:rsidR="00E402BD" w:rsidRDefault="00E402BD" w:rsidP="00935236"/>
    <w:p w14:paraId="00F63570" w14:textId="77777777" w:rsidR="009E02E8" w:rsidRDefault="009E02E8" w:rsidP="00935236"/>
    <w:p w14:paraId="1FB5C8E0" w14:textId="77777777" w:rsidR="00C72A1C" w:rsidRDefault="00C72A1C" w:rsidP="00C72A1C">
      <w:pPr>
        <w:pStyle w:val="Heading3"/>
      </w:pPr>
      <w:r>
        <w:t>Responses to consultation questions</w:t>
      </w:r>
    </w:p>
    <w:p w14:paraId="1BE7F518" w14:textId="77777777" w:rsidR="00C72A1C" w:rsidRDefault="00C72A1C" w:rsidP="00C72A1C">
      <w:pPr>
        <w:pStyle w:val="Heading2"/>
        <w:rPr>
          <w:rFonts w:eastAsia="Open Sans SemiBold" w:cs="Open Sans SemiBold"/>
          <w:u w:val="single"/>
        </w:rPr>
      </w:pPr>
    </w:p>
    <w:p w14:paraId="2CB26AA5" w14:textId="77777777" w:rsidR="00C72A1C" w:rsidRDefault="00C72A1C" w:rsidP="00C72A1C">
      <w:pPr>
        <w:pStyle w:val="BodyText"/>
        <w:rPr>
          <w:b/>
          <w:bCs/>
          <w:sz w:val="22"/>
          <w:szCs w:val="22"/>
          <w:u w:val="single"/>
        </w:rPr>
      </w:pPr>
      <w:r w:rsidRPr="7084E50A">
        <w:rPr>
          <w:b/>
          <w:bCs/>
          <w:sz w:val="22"/>
          <w:szCs w:val="22"/>
          <w:u w:val="single"/>
        </w:rPr>
        <w:t>Section 3: Qualifying developments</w:t>
      </w:r>
    </w:p>
    <w:p w14:paraId="4B813D4B" w14:textId="77777777" w:rsidR="00C72A1C" w:rsidRDefault="00C72A1C" w:rsidP="00C72A1C">
      <w:pPr>
        <w:pStyle w:val="paragraph"/>
        <w:spacing w:before="0" w:beforeAutospacing="0" w:after="0" w:afterAutospacing="0"/>
        <w:textAlignment w:val="baseline"/>
        <w:rPr>
          <w:rFonts w:ascii="Segoe UI" w:hAnsi="Segoe UI" w:cs="Segoe UI"/>
          <w:color w:val="58626E"/>
          <w:sz w:val="18"/>
          <w:szCs w:val="18"/>
        </w:rPr>
      </w:pPr>
      <w:r>
        <w:rPr>
          <w:rStyle w:val="eop"/>
          <w:rFonts w:ascii="Open Sans Light" w:eastAsiaTheme="majorEastAsia" w:hAnsi="Open Sans Light" w:cs="Open Sans Light"/>
          <w:color w:val="58626E"/>
          <w:sz w:val="20"/>
          <w:szCs w:val="20"/>
        </w:rPr>
        <w:t> </w:t>
      </w:r>
    </w:p>
    <w:p w14:paraId="385D323B" w14:textId="795D8717" w:rsidR="00C72A1C" w:rsidRPr="00C72A1C" w:rsidRDefault="00C72A1C" w:rsidP="00C72A1C">
      <w:pPr>
        <w:pStyle w:val="paragraph"/>
        <w:spacing w:before="0" w:beforeAutospacing="0" w:after="0" w:afterAutospacing="0"/>
        <w:ind w:left="1540" w:hanging="1540"/>
        <w:textAlignment w:val="baseline"/>
        <w:rPr>
          <w:rFonts w:ascii="Open Sans Light" w:hAnsi="Open Sans Light" w:cs="Open Sans Light"/>
          <w:color w:val="198ECA"/>
        </w:rPr>
      </w:pPr>
      <w:r>
        <w:rPr>
          <w:rStyle w:val="normaltextrun"/>
          <w:rFonts w:ascii="Open Sans ExtraBold" w:hAnsi="Open Sans ExtraBold" w:cs="Open Sans ExtraBold"/>
          <w:color w:val="198ECA"/>
          <w:sz w:val="20"/>
          <w:szCs w:val="20"/>
        </w:rPr>
        <w:t>QUESTION 4</w:t>
      </w:r>
      <w:r>
        <w:rPr>
          <w:rStyle w:val="tabchar"/>
          <w:rFonts w:ascii="Calibri" w:hAnsi="Calibri" w:cs="Calibri"/>
          <w:color w:val="198ECA"/>
          <w:sz w:val="20"/>
          <w:szCs w:val="20"/>
        </w:rPr>
        <w:tab/>
      </w:r>
      <w:r>
        <w:rPr>
          <w:rStyle w:val="normaltextrun"/>
          <w:rFonts w:ascii="Open Sans Light" w:hAnsi="Open Sans Light" w:cs="Open Sans Light"/>
          <w:color w:val="58626E"/>
          <w:sz w:val="20"/>
          <w:szCs w:val="20"/>
        </w:rPr>
        <w:t> </w:t>
      </w:r>
      <w:r>
        <w:rPr>
          <w:rStyle w:val="normaltextrun"/>
          <w:rFonts w:ascii="Open Sans Light" w:hAnsi="Open Sans Light" w:cs="Open Sans Light"/>
          <w:color w:val="198ECA"/>
        </w:rPr>
        <w:t>D</w:t>
      </w:r>
      <w:r w:rsidRPr="00C72A1C">
        <w:rPr>
          <w:rFonts w:ascii="Open Sans Light" w:hAnsi="Open Sans Light" w:cs="Open Sans Light"/>
          <w:color w:val="198ECA"/>
        </w:rPr>
        <w:t>o you agree that the relief should not apply to development</w:t>
      </w:r>
      <w:r>
        <w:rPr>
          <w:rFonts w:ascii="Open Sans Light" w:hAnsi="Open Sans Light" w:cs="Open Sans Light"/>
          <w:color w:val="198ECA"/>
        </w:rPr>
        <w:t xml:space="preserve"> </w:t>
      </w:r>
      <w:r w:rsidRPr="00C72A1C">
        <w:rPr>
          <w:rFonts w:ascii="Open Sans Light" w:hAnsi="Open Sans Light" w:cs="Open Sans Light"/>
          <w:color w:val="198ECA"/>
        </w:rPr>
        <w:t>on “excluded land” as defined? Please explain your answer. </w:t>
      </w:r>
    </w:p>
    <w:p w14:paraId="5CD084BA" w14:textId="7E01F881" w:rsidR="00C72A1C" w:rsidRPr="00C72A1C" w:rsidRDefault="00C72A1C" w:rsidP="00C72A1C">
      <w:pPr>
        <w:pStyle w:val="paragraph"/>
        <w:ind w:left="1440"/>
        <w:textAlignment w:val="baseline"/>
        <w:rPr>
          <w:rStyle w:val="normaltextrun"/>
          <w:rFonts w:ascii="Open Sans Light" w:hAnsi="Open Sans Light" w:cs="Open Sans Light"/>
          <w:color w:val="58626E"/>
          <w:sz w:val="20"/>
          <w:szCs w:val="20"/>
        </w:rPr>
      </w:pPr>
      <w:r>
        <w:rPr>
          <w:rStyle w:val="normaltextrun"/>
          <w:rFonts w:ascii="Open Sans Light" w:hAnsi="Open Sans Light" w:cs="Open Sans Light"/>
          <w:color w:val="58626E"/>
          <w:sz w:val="20"/>
          <w:szCs w:val="20"/>
        </w:rPr>
        <w:t>Th</w:t>
      </w:r>
      <w:r w:rsidRPr="00C72A1C">
        <w:rPr>
          <w:rStyle w:val="normaltextrun"/>
          <w:rFonts w:ascii="Open Sans Light" w:hAnsi="Open Sans Light" w:cs="Open Sans Light"/>
          <w:color w:val="58626E"/>
          <w:sz w:val="20"/>
          <w:szCs w:val="20"/>
        </w:rPr>
        <w:t>e BPF recognises the rationale for distinguishing between land that is eligible for relief and land that is excluded, particularly given the importance of protecting Green Belt, Metropolitan Open Land (MOL), and other designated open spaces. However, we urge the Government to reconsider the blanket exclusion of these categories from CIL relief.</w:t>
      </w:r>
    </w:p>
    <w:p w14:paraId="53EDAB45" w14:textId="29CE7076" w:rsidR="00C72A1C" w:rsidRPr="00C72A1C" w:rsidRDefault="00C72A1C" w:rsidP="00C72A1C">
      <w:pPr>
        <w:pStyle w:val="paragraph"/>
        <w:ind w:left="1440"/>
        <w:textAlignment w:val="baseline"/>
        <w:rPr>
          <w:rStyle w:val="normaltextrun"/>
          <w:rFonts w:ascii="Open Sans Light" w:hAnsi="Open Sans Light" w:cs="Open Sans Light"/>
          <w:color w:val="58626E"/>
          <w:sz w:val="20"/>
          <w:szCs w:val="20"/>
        </w:rPr>
      </w:pPr>
      <w:r w:rsidRPr="00C72A1C">
        <w:rPr>
          <w:rStyle w:val="normaltextrun"/>
          <w:rFonts w:ascii="Open Sans Light" w:hAnsi="Open Sans Light" w:cs="Open Sans Light"/>
          <w:color w:val="58626E"/>
          <w:sz w:val="20"/>
          <w:szCs w:val="20"/>
        </w:rPr>
        <w:t>A full exclusion risks further constraining housing delivery in London by removing a potential lever to address viability challenges on sites that may already be suitable for development in planning terms. Instead, the BPF recommends that development on “excluded land” be eligible for a reduced level of relief, for example through a lower CIL rate (such as 35 per cent), rather than being excluded entirely. This would better reflect the viability pressures these sites face while maintaining appropriate policy safeguards.</w:t>
      </w:r>
    </w:p>
    <w:p w14:paraId="563461D7" w14:textId="7E0BBF5E" w:rsidR="00C72A1C" w:rsidRPr="00C72A1C" w:rsidRDefault="00C72A1C" w:rsidP="00C72A1C">
      <w:pPr>
        <w:pStyle w:val="paragraph"/>
        <w:ind w:left="1440"/>
        <w:textAlignment w:val="baseline"/>
        <w:rPr>
          <w:rStyle w:val="normaltextrun"/>
          <w:rFonts w:ascii="Open Sans Light" w:hAnsi="Open Sans Light" w:cs="Open Sans Light"/>
          <w:color w:val="58626E"/>
          <w:sz w:val="20"/>
          <w:szCs w:val="20"/>
        </w:rPr>
      </w:pPr>
      <w:r w:rsidRPr="00C72A1C">
        <w:rPr>
          <w:rStyle w:val="normaltextrun"/>
          <w:rFonts w:ascii="Open Sans Light" w:hAnsi="Open Sans Light" w:cs="Open Sans Light"/>
          <w:color w:val="58626E"/>
          <w:sz w:val="20"/>
          <w:szCs w:val="20"/>
        </w:rPr>
        <w:t xml:space="preserve">Sites such as golf courses merit particular consideration. These sites are frequently identified for strategic development, and many are currently banked. Extending a degree of CIL relief to golf courses could help unlock these sites without undermining wider open space protections. </w:t>
      </w:r>
    </w:p>
    <w:p w14:paraId="275C923B" w14:textId="662E1968" w:rsidR="00021DA5" w:rsidRPr="00E06D78" w:rsidRDefault="00021DA5" w:rsidP="00021DA5">
      <w:pPr>
        <w:pStyle w:val="paragraph"/>
        <w:ind w:left="1440"/>
        <w:textAlignment w:val="baseline"/>
        <w:rPr>
          <w:rFonts w:ascii="Open Sans Light" w:hAnsi="Open Sans Light" w:cs="Open Sans Light"/>
          <w:color w:val="58626E"/>
          <w:sz w:val="20"/>
          <w:szCs w:val="20"/>
        </w:rPr>
      </w:pPr>
      <w:r w:rsidRPr="00E06D78">
        <w:rPr>
          <w:rFonts w:ascii="Open Sans Light" w:hAnsi="Open Sans Light" w:cs="Open Sans Light"/>
          <w:color w:val="58626E"/>
          <w:sz w:val="20"/>
          <w:szCs w:val="20"/>
        </w:rPr>
        <w:t>There is also a lack of clarity as to how this proposal interacts with the draft National Planning Policy Framework (NPPF). If adopted as drafted, the NPPF would fundamentally change the treatment of certain Green Belt and Metropolitan Open Land (MOL) sites, particularly those that are well served by public transport. In particular, the redraft of policy GB8 introduces a route for the use of viability assessments to deliver less than 50 per cent affordable housing in compliance with the ‘golden rules’. This reflects a broader shift towards a more permissive approach to development in the Green Belt, including explicit recognition of the viability constraints associated with previously developed land and complex, multi-phase strategic sites. Against this backdrop, the rationale for the blanket exclusion of Green Belt land from CIL relief is unclear.</w:t>
      </w:r>
    </w:p>
    <w:p w14:paraId="61EDC988" w14:textId="11919927" w:rsidR="00C72A1C" w:rsidRPr="00E06D78" w:rsidRDefault="00C72A1C" w:rsidP="00E06D78">
      <w:pPr>
        <w:pStyle w:val="paragraph"/>
        <w:ind w:left="1440"/>
        <w:textAlignment w:val="baseline"/>
        <w:rPr>
          <w:rStyle w:val="normaltextrun"/>
          <w:rFonts w:ascii="Open Sans Light" w:hAnsi="Open Sans Light" w:cs="Open Sans Light"/>
          <w:color w:val="58626E"/>
        </w:rPr>
      </w:pPr>
      <w:r w:rsidRPr="00C72A1C">
        <w:rPr>
          <w:rStyle w:val="normaltextrun"/>
          <w:rFonts w:ascii="Open Sans Light" w:hAnsi="Open Sans Light" w:cs="Open Sans Light"/>
          <w:color w:val="58626E"/>
          <w:sz w:val="20"/>
          <w:szCs w:val="20"/>
        </w:rPr>
        <w:t>It is therefore important that Government clearly sets out how the proposed CIL relief regime will operate alongside any changes to national policy, to avoid confusion and unintended consequences.</w:t>
      </w:r>
    </w:p>
    <w:p w14:paraId="2075F4EA" w14:textId="77777777" w:rsidR="00C72A1C" w:rsidRDefault="00C72A1C" w:rsidP="00C72A1C">
      <w:pPr>
        <w:pStyle w:val="paragraph"/>
        <w:spacing w:before="0" w:beforeAutospacing="0" w:after="0" w:afterAutospacing="0"/>
        <w:textAlignment w:val="baseline"/>
        <w:rPr>
          <w:rStyle w:val="normaltextrun"/>
          <w:rFonts w:ascii="Open Sans Light" w:hAnsi="Open Sans Light" w:cs="Open Sans Light"/>
          <w:color w:val="58626E"/>
          <w:sz w:val="20"/>
          <w:szCs w:val="20"/>
        </w:rPr>
      </w:pPr>
    </w:p>
    <w:p w14:paraId="39B71CA7" w14:textId="4DB14D84" w:rsidR="00E402BD" w:rsidRDefault="00C72A1C" w:rsidP="00E402BD">
      <w:pPr>
        <w:pStyle w:val="Introductiontext"/>
        <w:ind w:left="1440" w:hanging="1440"/>
        <w:rPr>
          <w:rFonts w:ascii="Open Sans Light" w:eastAsia="Open Sans Light" w:hAnsi="Open Sans Light" w:cs="Open Sans Light"/>
          <w:szCs w:val="24"/>
        </w:rPr>
      </w:pPr>
      <w:r w:rsidRPr="00935236">
        <w:rPr>
          <w:rFonts w:asciiTheme="majorHAnsi" w:hAnsiTheme="majorHAnsi" w:cstheme="majorHAnsi"/>
          <w:sz w:val="18"/>
          <w:szCs w:val="18"/>
        </w:rPr>
        <w:lastRenderedPageBreak/>
        <w:t xml:space="preserve">QUESTION </w:t>
      </w:r>
      <w:r>
        <w:rPr>
          <w:rFonts w:asciiTheme="majorHAnsi" w:hAnsiTheme="majorHAnsi" w:cstheme="majorHAnsi"/>
          <w:sz w:val="18"/>
          <w:szCs w:val="18"/>
        </w:rPr>
        <w:t>5</w:t>
      </w:r>
      <w:r>
        <w:tab/>
      </w:r>
      <w:r w:rsidR="00E402BD" w:rsidRPr="2CAF1333">
        <w:rPr>
          <w:rFonts w:ascii="Open Sans Light" w:eastAsia="Open Sans Light" w:hAnsi="Open Sans Light" w:cs="Open Sans Light"/>
          <w:szCs w:val="24"/>
        </w:rPr>
        <w:t>The Government welcomes views on approaches restricting relief to</w:t>
      </w:r>
      <w:r w:rsidR="00E402BD">
        <w:rPr>
          <w:rFonts w:ascii="Open Sans Light" w:eastAsia="Open Sans Light" w:hAnsi="Open Sans Light" w:cs="Open Sans Light"/>
          <w:szCs w:val="24"/>
        </w:rPr>
        <w:t xml:space="preserve"> </w:t>
      </w:r>
      <w:r w:rsidR="00E402BD" w:rsidRPr="2CAF1333">
        <w:rPr>
          <w:rFonts w:ascii="Open Sans Light" w:eastAsia="Open Sans Light" w:hAnsi="Open Sans Light" w:cs="Open Sans Light"/>
          <w:szCs w:val="24"/>
        </w:rPr>
        <w:t>certain land uses – including the merits of whether the policy should apply based on established use classes, or something more bespoke.</w:t>
      </w:r>
    </w:p>
    <w:p w14:paraId="087F8875" w14:textId="7300D5B5" w:rsidR="00C72A1C" w:rsidRPr="00935236" w:rsidRDefault="00C72A1C" w:rsidP="00E402BD">
      <w:pPr>
        <w:spacing w:line="240" w:lineRule="auto"/>
        <w:ind w:left="1560" w:hanging="1560"/>
        <w:rPr>
          <w:color w:val="198ECA" w:themeColor="accent1"/>
          <w:sz w:val="24"/>
          <w:szCs w:val="24"/>
        </w:rPr>
      </w:pPr>
    </w:p>
    <w:p w14:paraId="581DA340" w14:textId="2B869B8A" w:rsidR="00C72A1C" w:rsidRPr="00C72A1C" w:rsidRDefault="00C72A1C" w:rsidP="00E402BD">
      <w:pPr>
        <w:pStyle w:val="paragraph"/>
        <w:ind w:left="1440"/>
        <w:textAlignment w:val="baseline"/>
        <w:rPr>
          <w:rStyle w:val="normaltextrun"/>
          <w:rFonts w:ascii="Open Sans Light" w:hAnsi="Open Sans Light" w:cs="Open Sans Light"/>
          <w:color w:val="58626E"/>
          <w:sz w:val="20"/>
          <w:szCs w:val="20"/>
        </w:rPr>
      </w:pPr>
      <w:r>
        <w:rPr>
          <w:rStyle w:val="normaltextrun"/>
          <w:rFonts w:ascii="Open Sans Light" w:hAnsi="Open Sans Light" w:cs="Open Sans Light"/>
          <w:color w:val="58626E"/>
          <w:sz w:val="20"/>
          <w:szCs w:val="20"/>
        </w:rPr>
        <w:t>T</w:t>
      </w:r>
      <w:r w:rsidRPr="00C72A1C">
        <w:rPr>
          <w:rStyle w:val="normaltextrun"/>
          <w:rFonts w:ascii="Open Sans Light" w:hAnsi="Open Sans Light" w:cs="Open Sans Light"/>
          <w:color w:val="58626E"/>
          <w:sz w:val="20"/>
          <w:szCs w:val="20"/>
        </w:rPr>
        <w:t>he BPF has concerns th</w:t>
      </w:r>
      <w:r w:rsidR="00293AE5">
        <w:rPr>
          <w:rStyle w:val="normaltextrun"/>
          <w:rFonts w:ascii="Open Sans Light" w:hAnsi="Open Sans Light" w:cs="Open Sans Light"/>
          <w:color w:val="58626E"/>
          <w:sz w:val="20"/>
          <w:szCs w:val="20"/>
        </w:rPr>
        <w:t>at</w:t>
      </w:r>
      <w:r w:rsidRPr="00C72A1C">
        <w:rPr>
          <w:rStyle w:val="normaltextrun"/>
          <w:rFonts w:ascii="Open Sans Light" w:hAnsi="Open Sans Light" w:cs="Open Sans Light"/>
          <w:color w:val="58626E"/>
          <w:sz w:val="20"/>
          <w:szCs w:val="20"/>
        </w:rPr>
        <w:t xml:space="preserve"> relying on existing planning use classes risks being overly restrictive and does not acknowledge the diversity of modern residential delivery models.</w:t>
      </w:r>
      <w:r w:rsidR="00E402BD" w:rsidRPr="00E402BD">
        <w:t xml:space="preserve"> </w:t>
      </w:r>
      <w:r w:rsidR="00E402BD" w:rsidRPr="00E402BD">
        <w:rPr>
          <w:rStyle w:val="normaltextrun"/>
          <w:rFonts w:ascii="Open Sans Light" w:hAnsi="Open Sans Light" w:cs="Open Sans Light"/>
          <w:color w:val="58626E"/>
          <w:sz w:val="20"/>
          <w:szCs w:val="20"/>
        </w:rPr>
        <w:t xml:space="preserve">While applications and starts for </w:t>
      </w:r>
      <w:r w:rsidR="00AB2B1A">
        <w:rPr>
          <w:rStyle w:val="normaltextrun"/>
          <w:rFonts w:ascii="Open Sans Light" w:hAnsi="Open Sans Light" w:cs="Open Sans Light"/>
          <w:color w:val="58626E"/>
          <w:sz w:val="20"/>
          <w:szCs w:val="20"/>
        </w:rPr>
        <w:t>C</w:t>
      </w:r>
      <w:r w:rsidR="00E402BD" w:rsidRPr="00E402BD">
        <w:rPr>
          <w:rStyle w:val="normaltextrun"/>
          <w:rFonts w:ascii="Open Sans Light" w:hAnsi="Open Sans Light" w:cs="Open Sans Light"/>
          <w:color w:val="58626E"/>
          <w:sz w:val="20"/>
          <w:szCs w:val="20"/>
        </w:rPr>
        <w:t>o-</w:t>
      </w:r>
      <w:r w:rsidR="00AB2B1A">
        <w:rPr>
          <w:rStyle w:val="normaltextrun"/>
          <w:rFonts w:ascii="Open Sans Light" w:hAnsi="Open Sans Light" w:cs="Open Sans Light"/>
          <w:color w:val="58626E"/>
          <w:sz w:val="20"/>
          <w:szCs w:val="20"/>
        </w:rPr>
        <w:t>L</w:t>
      </w:r>
      <w:r w:rsidR="00E402BD" w:rsidRPr="00E402BD">
        <w:rPr>
          <w:rStyle w:val="normaltextrun"/>
          <w:rFonts w:ascii="Open Sans Light" w:hAnsi="Open Sans Light" w:cs="Open Sans Light"/>
          <w:color w:val="58626E"/>
          <w:sz w:val="20"/>
          <w:szCs w:val="20"/>
        </w:rPr>
        <w:t>iving and PBSA have accelerated relative to traditional residential schemes, this should not be interpreted as evidence that all is well for these tenures</w:t>
      </w:r>
      <w:r w:rsidR="000777E5">
        <w:rPr>
          <w:rStyle w:val="normaltextrun"/>
          <w:rFonts w:ascii="Open Sans Light" w:hAnsi="Open Sans Light" w:cs="Open Sans Light"/>
          <w:color w:val="58626E"/>
          <w:sz w:val="20"/>
          <w:szCs w:val="20"/>
        </w:rPr>
        <w:t>, or that there is any oversupply of these ho</w:t>
      </w:r>
      <w:r w:rsidR="00FC26BD">
        <w:rPr>
          <w:rStyle w:val="normaltextrun"/>
          <w:rFonts w:ascii="Open Sans Light" w:hAnsi="Open Sans Light" w:cs="Open Sans Light"/>
          <w:color w:val="58626E"/>
          <w:sz w:val="20"/>
          <w:szCs w:val="20"/>
        </w:rPr>
        <w:t>mes</w:t>
      </w:r>
      <w:r w:rsidR="00E402BD" w:rsidRPr="00E402BD">
        <w:rPr>
          <w:rStyle w:val="normaltextrun"/>
          <w:rFonts w:ascii="Open Sans Light" w:hAnsi="Open Sans Light" w:cs="Open Sans Light"/>
          <w:color w:val="58626E"/>
          <w:sz w:val="20"/>
          <w:szCs w:val="20"/>
        </w:rPr>
        <w:t>.</w:t>
      </w:r>
      <w:r w:rsidR="00E402BD" w:rsidRPr="00C72A1C">
        <w:rPr>
          <w:rStyle w:val="normaltextrun"/>
          <w:rFonts w:ascii="Open Sans Light" w:hAnsi="Open Sans Light" w:cs="Open Sans Light"/>
          <w:color w:val="58626E"/>
          <w:sz w:val="20"/>
          <w:szCs w:val="20"/>
        </w:rPr>
        <w:t xml:space="preserve"> </w:t>
      </w:r>
      <w:r w:rsidRPr="00C72A1C">
        <w:rPr>
          <w:rStyle w:val="normaltextrun"/>
          <w:rFonts w:ascii="Open Sans Light" w:hAnsi="Open Sans Light" w:cs="Open Sans Light"/>
          <w:color w:val="58626E"/>
          <w:sz w:val="20"/>
          <w:szCs w:val="20"/>
        </w:rPr>
        <w:t>Housing delivery</w:t>
      </w:r>
      <w:r w:rsidR="00FC26BD">
        <w:rPr>
          <w:rStyle w:val="normaltextrun"/>
          <w:rFonts w:ascii="Open Sans Light" w:hAnsi="Open Sans Light" w:cs="Open Sans Light"/>
          <w:color w:val="58626E"/>
          <w:sz w:val="20"/>
          <w:szCs w:val="20"/>
        </w:rPr>
        <w:t xml:space="preserve"> and demand</w:t>
      </w:r>
      <w:r w:rsidRPr="00C72A1C">
        <w:rPr>
          <w:rStyle w:val="normaltextrun"/>
          <w:rFonts w:ascii="Open Sans Light" w:hAnsi="Open Sans Light" w:cs="Open Sans Light"/>
          <w:color w:val="58626E"/>
          <w:sz w:val="20"/>
          <w:szCs w:val="20"/>
        </w:rPr>
        <w:t xml:space="preserve"> has evolved significantly, and models such as </w:t>
      </w:r>
      <w:r w:rsidR="00AB2B1A">
        <w:rPr>
          <w:rStyle w:val="normaltextrun"/>
          <w:rFonts w:ascii="Open Sans Light" w:hAnsi="Open Sans Light" w:cs="Open Sans Light"/>
          <w:color w:val="58626E"/>
          <w:sz w:val="20"/>
          <w:szCs w:val="20"/>
        </w:rPr>
        <w:t>C</w:t>
      </w:r>
      <w:r w:rsidRPr="00C72A1C">
        <w:rPr>
          <w:rStyle w:val="normaltextrun"/>
          <w:rFonts w:ascii="Open Sans Light" w:hAnsi="Open Sans Light" w:cs="Open Sans Light"/>
          <w:color w:val="58626E"/>
          <w:sz w:val="20"/>
          <w:szCs w:val="20"/>
        </w:rPr>
        <w:t>o-</w:t>
      </w:r>
      <w:r w:rsidR="00AB2B1A">
        <w:rPr>
          <w:rStyle w:val="normaltextrun"/>
          <w:rFonts w:ascii="Open Sans Light" w:hAnsi="Open Sans Light" w:cs="Open Sans Light"/>
          <w:color w:val="58626E"/>
          <w:sz w:val="20"/>
          <w:szCs w:val="20"/>
        </w:rPr>
        <w:t>L</w:t>
      </w:r>
      <w:r w:rsidRPr="00C72A1C">
        <w:rPr>
          <w:rStyle w:val="normaltextrun"/>
          <w:rFonts w:ascii="Open Sans Light" w:hAnsi="Open Sans Light" w:cs="Open Sans Light"/>
          <w:color w:val="58626E"/>
          <w:sz w:val="20"/>
          <w:szCs w:val="20"/>
        </w:rPr>
        <w:t xml:space="preserve">iving and </w:t>
      </w:r>
      <w:r w:rsidR="00E402BD">
        <w:rPr>
          <w:rStyle w:val="normaltextrun"/>
          <w:rFonts w:ascii="Open Sans Light" w:hAnsi="Open Sans Light" w:cs="Open Sans Light"/>
          <w:color w:val="58626E"/>
          <w:sz w:val="20"/>
          <w:szCs w:val="20"/>
        </w:rPr>
        <w:t xml:space="preserve">PBSA </w:t>
      </w:r>
      <w:r w:rsidRPr="00C72A1C">
        <w:rPr>
          <w:rStyle w:val="normaltextrun"/>
          <w:rFonts w:ascii="Open Sans Light" w:hAnsi="Open Sans Light" w:cs="Open Sans Light"/>
          <w:color w:val="58626E"/>
          <w:sz w:val="20"/>
          <w:szCs w:val="20"/>
        </w:rPr>
        <w:t xml:space="preserve">now play an established role in meeting housing need, particularly in high-demand urban areas. These tenures should not be excluded by default, as they are integral to overall housing supply and are subject to many of the same viability pressures as more traditional forms of residential development. </w:t>
      </w:r>
    </w:p>
    <w:p w14:paraId="34DE7146" w14:textId="42E1F7D2" w:rsidR="00C72A1C" w:rsidRDefault="00C72A1C" w:rsidP="00C72A1C">
      <w:pPr>
        <w:pStyle w:val="paragraph"/>
        <w:spacing w:before="0" w:beforeAutospacing="0" w:after="0" w:afterAutospacing="0"/>
        <w:ind w:left="1440"/>
        <w:textAlignment w:val="baseline"/>
        <w:rPr>
          <w:rStyle w:val="normaltextrun"/>
          <w:rFonts w:ascii="Open Sans Light" w:hAnsi="Open Sans Light" w:cs="Open Sans Light"/>
          <w:color w:val="58626E"/>
          <w:sz w:val="20"/>
          <w:szCs w:val="20"/>
        </w:rPr>
      </w:pPr>
      <w:r w:rsidRPr="00C72A1C">
        <w:rPr>
          <w:rStyle w:val="normaltextrun"/>
          <w:rFonts w:ascii="Open Sans Light" w:hAnsi="Open Sans Light" w:cs="Open Sans Light"/>
          <w:color w:val="58626E"/>
          <w:sz w:val="20"/>
          <w:szCs w:val="20"/>
        </w:rPr>
        <w:t xml:space="preserve">A more tailored and bespoke definition of eligible land uses would allow the relief to be more effectively targeted at developments that are genuinely constrained by viability challenges, while remaining aligned with wider housing delivery objectives. </w:t>
      </w:r>
      <w:r w:rsidR="00E402BD" w:rsidRPr="00E402BD">
        <w:rPr>
          <w:rStyle w:val="normaltextrun"/>
          <w:rFonts w:ascii="Open Sans Light" w:hAnsi="Open Sans Light" w:cs="Open Sans Light"/>
          <w:color w:val="58626E"/>
          <w:sz w:val="20"/>
          <w:szCs w:val="20"/>
        </w:rPr>
        <w:t xml:space="preserve">The Government should recognise the broad fundamentals driving viability pressures and apply support consistently across all use classes, to ensure that the recent success of </w:t>
      </w:r>
      <w:r w:rsidR="00AB2B1A">
        <w:rPr>
          <w:rStyle w:val="normaltextrun"/>
          <w:rFonts w:ascii="Open Sans Light" w:hAnsi="Open Sans Light" w:cs="Open Sans Light"/>
          <w:color w:val="58626E"/>
          <w:sz w:val="20"/>
          <w:szCs w:val="20"/>
        </w:rPr>
        <w:t>C</w:t>
      </w:r>
      <w:r w:rsidR="00E402BD" w:rsidRPr="00E402BD">
        <w:rPr>
          <w:rStyle w:val="normaltextrun"/>
          <w:rFonts w:ascii="Open Sans Light" w:hAnsi="Open Sans Light" w:cs="Open Sans Light"/>
          <w:color w:val="58626E"/>
          <w:sz w:val="20"/>
          <w:szCs w:val="20"/>
        </w:rPr>
        <w:t>o-</w:t>
      </w:r>
      <w:r w:rsidR="00AB2B1A">
        <w:rPr>
          <w:rStyle w:val="normaltextrun"/>
          <w:rFonts w:ascii="Open Sans Light" w:hAnsi="Open Sans Light" w:cs="Open Sans Light"/>
          <w:color w:val="58626E"/>
          <w:sz w:val="20"/>
          <w:szCs w:val="20"/>
        </w:rPr>
        <w:t>L</w:t>
      </w:r>
      <w:r w:rsidR="00E402BD" w:rsidRPr="00E402BD">
        <w:rPr>
          <w:rStyle w:val="normaltextrun"/>
          <w:rFonts w:ascii="Open Sans Light" w:hAnsi="Open Sans Light" w:cs="Open Sans Light"/>
          <w:color w:val="58626E"/>
          <w:sz w:val="20"/>
          <w:szCs w:val="20"/>
        </w:rPr>
        <w:t>iving and PBSA is not undermined.</w:t>
      </w:r>
      <w:r w:rsidR="00E402BD">
        <w:rPr>
          <w:rStyle w:val="normaltextrun"/>
          <w:rFonts w:ascii="Open Sans Light" w:hAnsi="Open Sans Light" w:cs="Open Sans Light"/>
          <w:color w:val="58626E"/>
          <w:sz w:val="20"/>
          <w:szCs w:val="20"/>
        </w:rPr>
        <w:t xml:space="preserve"> </w:t>
      </w:r>
      <w:r w:rsidRPr="00C72A1C">
        <w:rPr>
          <w:rStyle w:val="normaltextrun"/>
          <w:rFonts w:ascii="Open Sans Light" w:hAnsi="Open Sans Light" w:cs="Open Sans Light"/>
          <w:color w:val="58626E"/>
          <w:sz w:val="20"/>
          <w:szCs w:val="20"/>
        </w:rPr>
        <w:t>Excluding alternative residential tenures risks further constraining supply, undermining innovation in housing delivery, and missing opportunities to unlock new homes that would otherwise not come forward.</w:t>
      </w:r>
    </w:p>
    <w:p w14:paraId="0E87911B" w14:textId="77777777" w:rsidR="00C72A1C" w:rsidRDefault="00C72A1C" w:rsidP="00C72A1C">
      <w:pPr>
        <w:pStyle w:val="paragraph"/>
        <w:spacing w:before="0" w:beforeAutospacing="0" w:after="0" w:afterAutospacing="0"/>
        <w:ind w:left="1440"/>
        <w:textAlignment w:val="baseline"/>
        <w:rPr>
          <w:b/>
          <w:bCs/>
          <w:sz w:val="22"/>
          <w:szCs w:val="22"/>
          <w:u w:val="single"/>
        </w:rPr>
      </w:pPr>
    </w:p>
    <w:p w14:paraId="2CC40643" w14:textId="08BFE106" w:rsidR="00935236" w:rsidRPr="00935236" w:rsidRDefault="00935236" w:rsidP="00935236">
      <w:pPr>
        <w:spacing w:line="240" w:lineRule="auto"/>
        <w:ind w:left="1560" w:hanging="1560"/>
        <w:rPr>
          <w:color w:val="198ECA" w:themeColor="accent1"/>
          <w:sz w:val="24"/>
          <w:szCs w:val="24"/>
        </w:rPr>
      </w:pPr>
      <w:r w:rsidRPr="00935236">
        <w:rPr>
          <w:rFonts w:asciiTheme="majorHAnsi" w:hAnsiTheme="majorHAnsi" w:cstheme="majorHAnsi"/>
          <w:color w:val="198ECA" w:themeColor="accent1"/>
          <w:sz w:val="18"/>
          <w:szCs w:val="18"/>
        </w:rPr>
        <w:t>QUESTION 6</w:t>
      </w:r>
      <w:r w:rsidR="009E02E8">
        <w:tab/>
      </w:r>
      <w:r w:rsidRPr="00935236">
        <w:rPr>
          <w:color w:val="198ECA" w:themeColor="accent1"/>
          <w:sz w:val="24"/>
          <w:szCs w:val="24"/>
        </w:rPr>
        <w:t>The Government welcomes views on the application and level of the</w:t>
      </w:r>
    </w:p>
    <w:p w14:paraId="77311612" w14:textId="77777777" w:rsidR="00935236" w:rsidRPr="00935236" w:rsidRDefault="00935236" w:rsidP="00935236">
      <w:pPr>
        <w:spacing w:line="240" w:lineRule="auto"/>
        <w:ind w:left="1560"/>
        <w:rPr>
          <w:color w:val="198ECA" w:themeColor="accent1"/>
          <w:sz w:val="24"/>
          <w:szCs w:val="24"/>
        </w:rPr>
      </w:pPr>
      <w:r w:rsidRPr="00935236">
        <w:rPr>
          <w:color w:val="198ECA" w:themeColor="accent1"/>
          <w:sz w:val="24"/>
          <w:szCs w:val="24"/>
        </w:rPr>
        <w:t>proposed borough-level CIL liability threshold, including whether this would have significant negative implications for SME builders.</w:t>
      </w:r>
    </w:p>
    <w:p w14:paraId="3128B9A9" w14:textId="77777777" w:rsidR="00935236" w:rsidRDefault="00935236" w:rsidP="00935236">
      <w:pPr>
        <w:spacing w:line="240" w:lineRule="auto"/>
      </w:pPr>
    </w:p>
    <w:p w14:paraId="4F461B40" w14:textId="24FD66C2" w:rsidR="00935236" w:rsidRDefault="0C8608E4" w:rsidP="6B02C682">
      <w:pPr>
        <w:ind w:left="1440"/>
      </w:pPr>
      <w:r w:rsidRPr="6B02C682">
        <w:t>Reducing CIL has potential as a tool to improve scheme viability and accelerate housing delivery, particularly for SME builders. Lower CIL liabilities can have a disproportionately positive impact on smaller schemes, where fixed costs and infrastructure charges represent a much greater share of overall development costs. In this respect, CIL reform has the potential to be a powerful mechanism for supporting</w:t>
      </w:r>
      <w:r w:rsidR="00F43501">
        <w:t xml:space="preserve"> not only</w:t>
      </w:r>
      <w:r w:rsidRPr="6B02C682">
        <w:t xml:space="preserve"> SMEs</w:t>
      </w:r>
      <w:r w:rsidR="00F43501">
        <w:t>, but also smaller schemes more generally,</w:t>
      </w:r>
      <w:r w:rsidRPr="6B02C682">
        <w:t xml:space="preserve"> and </w:t>
      </w:r>
      <w:r w:rsidR="00F43501">
        <w:t xml:space="preserve">therefore </w:t>
      </w:r>
      <w:r w:rsidRPr="6B02C682">
        <w:t>boost build-out rates.</w:t>
      </w:r>
    </w:p>
    <w:p w14:paraId="101FB99C" w14:textId="77777777" w:rsidR="00C72A1C" w:rsidRPr="00935236" w:rsidRDefault="00C72A1C" w:rsidP="6B02C682">
      <w:pPr>
        <w:ind w:left="1440"/>
        <w:rPr>
          <w:rFonts w:ascii="Open Sans ExtraBold" w:hAnsi="Open Sans ExtraBold" w:cs="Open Sans ExtraBold"/>
          <w:sz w:val="18"/>
          <w:szCs w:val="18"/>
        </w:rPr>
      </w:pPr>
    </w:p>
    <w:p w14:paraId="276DBBE4" w14:textId="285BE244" w:rsidR="00935236" w:rsidRDefault="0C8608E4" w:rsidP="6B02C682">
      <w:pPr>
        <w:ind w:left="1440"/>
      </w:pPr>
      <w:r w:rsidRPr="6B02C682">
        <w:t xml:space="preserve">However, as currently proposed, the borough-level CIL liability threshold risks undermining this objective. This threshold is likely to exclude many </w:t>
      </w:r>
      <w:r w:rsidR="00F43501">
        <w:t xml:space="preserve">smaller </w:t>
      </w:r>
      <w:r w:rsidRPr="6B02C682">
        <w:t xml:space="preserve">developments that are acutely sensitive to viability pressures, despite being precisely the schemes that would benefit most from relief. </w:t>
      </w:r>
    </w:p>
    <w:p w14:paraId="1CCBCB1D" w14:textId="77777777" w:rsidR="00C72A1C" w:rsidRPr="00935236" w:rsidRDefault="00C72A1C" w:rsidP="6B02C682">
      <w:pPr>
        <w:ind w:left="1440"/>
        <w:rPr>
          <w:rFonts w:ascii="Open Sans ExtraBold" w:hAnsi="Open Sans ExtraBold" w:cs="Open Sans ExtraBold"/>
          <w:sz w:val="18"/>
          <w:szCs w:val="18"/>
        </w:rPr>
      </w:pPr>
    </w:p>
    <w:p w14:paraId="4A2D31FA" w14:textId="759AD617" w:rsidR="00935236" w:rsidRDefault="0C8608E4" w:rsidP="6B02C682">
      <w:pPr>
        <w:ind w:left="1440"/>
      </w:pPr>
      <w:r w:rsidRPr="6B02C682">
        <w:t>In addition, the proposed application fee introduces an unnecessary barrier</w:t>
      </w:r>
      <w:r w:rsidR="00F43501">
        <w:t xml:space="preserve"> which will be prohibitive for smaller developments</w:t>
      </w:r>
      <w:r w:rsidRPr="6B02C682">
        <w:t xml:space="preserve">. </w:t>
      </w:r>
      <w:r w:rsidR="00F43501">
        <w:t>T</w:t>
      </w:r>
      <w:r w:rsidRPr="6B02C682">
        <w:t xml:space="preserve">he financial cost of applying, combined with the </w:t>
      </w:r>
      <w:r w:rsidRPr="6B02C682">
        <w:lastRenderedPageBreak/>
        <w:t>potential reputational risk associated with a refused application, may deter engagement altogether, reducing take-up and limiting the effectiveness of the policy.</w:t>
      </w:r>
    </w:p>
    <w:p w14:paraId="6D608CDD" w14:textId="77777777" w:rsidR="00C72A1C" w:rsidRPr="00935236" w:rsidRDefault="00C72A1C" w:rsidP="6B02C682">
      <w:pPr>
        <w:ind w:left="1440"/>
        <w:rPr>
          <w:rFonts w:ascii="Open Sans ExtraBold" w:hAnsi="Open Sans ExtraBold" w:cs="Open Sans ExtraBold"/>
          <w:sz w:val="18"/>
          <w:szCs w:val="18"/>
        </w:rPr>
      </w:pPr>
    </w:p>
    <w:p w14:paraId="2B073EBD" w14:textId="77777777" w:rsidR="005E76F7" w:rsidRDefault="005E76F7" w:rsidP="005E76F7">
      <w:pPr>
        <w:spacing w:line="240" w:lineRule="auto"/>
        <w:ind w:left="1440"/>
      </w:pPr>
      <w:r w:rsidRPr="00E80881">
        <w:t xml:space="preserve">We also note that a fixed threshold (e.g., £500,000) risks arbitrary and inconsistent outcomes, as CIL rates vary significantly between boroughs, meaning identical schemes could qualify in one area but not another. </w:t>
      </w:r>
      <w:r>
        <w:t xml:space="preserve">For example, a 188 unit scheme, which is average for Build to Rent, in the City of London would qualify for this relief, but the same scheme in </w:t>
      </w:r>
      <w:r w:rsidRPr="00795543">
        <w:t>Barking &amp; Dagenham, Bexley, Croydon, Enfield, Havering, Newham, Sutton</w:t>
      </w:r>
      <w:r>
        <w:t xml:space="preserve"> or </w:t>
      </w:r>
      <w:r w:rsidRPr="00795543">
        <w:t>Waltham Forest</w:t>
      </w:r>
      <w:r>
        <w:t xml:space="preserve"> wouldn’t. Smaller schemes, even in higher CIL boroughs would also not qualify and t</w:t>
      </w:r>
      <w:r w:rsidRPr="00E80881">
        <w:t>his is particularly relevant given the draft NPPF’s recognition of “medium developments” (10–49 dwellings) as warranting additional support; the threshold would likely penalise many of these schemes, running counter to the policy’s intended direction.</w:t>
      </w:r>
    </w:p>
    <w:p w14:paraId="1C0EE18B" w14:textId="77777777" w:rsidR="005E76F7" w:rsidRDefault="005E76F7" w:rsidP="00F43501">
      <w:pPr>
        <w:spacing w:line="240" w:lineRule="auto"/>
        <w:ind w:left="1440"/>
      </w:pPr>
    </w:p>
    <w:p w14:paraId="7587D50E" w14:textId="06162ED2" w:rsidR="00795543" w:rsidRDefault="00E80881" w:rsidP="00F43501">
      <w:pPr>
        <w:spacing w:line="240" w:lineRule="auto"/>
        <w:ind w:left="1440"/>
      </w:pPr>
      <w:r w:rsidRPr="00E80881">
        <w:t xml:space="preserve">The BPF therefore urges the Government to retain the positive ambition of reducing CIL burdens, but to reconsider the proposed delivery mechanism. A lower threshold, a scheme-level test, or a targeted exemption or zero-CIL approach would provide a more direct, proportionate and effective way to support rapid delivery and increase housing supply. Linking the application fee to the pre-relief CIL liability on a proportionate basis, with an appropriate cap, would ensure fees reflect the level of relief sought without creating additional barriers. </w:t>
      </w:r>
    </w:p>
    <w:p w14:paraId="0E31AEE7" w14:textId="77777777" w:rsidR="00F43501" w:rsidRDefault="00F43501" w:rsidP="00F43501">
      <w:pPr>
        <w:spacing w:line="240" w:lineRule="auto"/>
        <w:ind w:left="1440"/>
      </w:pPr>
    </w:p>
    <w:p w14:paraId="4F5221C4" w14:textId="77777777" w:rsidR="00E80881" w:rsidRPr="00935236" w:rsidRDefault="00E80881" w:rsidP="00E80881">
      <w:pPr>
        <w:ind w:left="1440"/>
        <w:rPr>
          <w:rFonts w:ascii="Open Sans ExtraBold" w:hAnsi="Open Sans ExtraBold" w:cs="Open Sans ExtraBold"/>
          <w:sz w:val="18"/>
          <w:szCs w:val="18"/>
        </w:rPr>
      </w:pPr>
    </w:p>
    <w:p w14:paraId="0FAD3B3A" w14:textId="77777777" w:rsidR="00935236" w:rsidRDefault="00935236" w:rsidP="00935236">
      <w:pPr>
        <w:spacing w:line="240" w:lineRule="auto"/>
      </w:pPr>
    </w:p>
    <w:p w14:paraId="03C5E023" w14:textId="2A4F0DAB" w:rsidR="00935236" w:rsidRDefault="00935236" w:rsidP="00935236">
      <w:pPr>
        <w:spacing w:line="240" w:lineRule="auto"/>
        <w:ind w:left="1560" w:hanging="1560"/>
      </w:pPr>
      <w:r w:rsidRPr="00935236">
        <w:rPr>
          <w:rFonts w:asciiTheme="majorHAnsi" w:hAnsiTheme="majorHAnsi" w:cstheme="majorHAnsi"/>
          <w:color w:val="198ECA" w:themeColor="accent1"/>
          <w:sz w:val="18"/>
          <w:szCs w:val="18"/>
        </w:rPr>
        <w:t xml:space="preserve">QUESTION </w:t>
      </w:r>
      <w:r>
        <w:rPr>
          <w:rFonts w:asciiTheme="majorHAnsi" w:hAnsiTheme="majorHAnsi" w:cstheme="majorHAnsi"/>
          <w:color w:val="198ECA" w:themeColor="accent1"/>
          <w:sz w:val="18"/>
          <w:szCs w:val="18"/>
        </w:rPr>
        <w:t>7</w:t>
      </w:r>
      <w:r>
        <w:tab/>
      </w:r>
      <w:r w:rsidRPr="00935236">
        <w:rPr>
          <w:color w:val="198ECA" w:themeColor="accent1"/>
          <w:sz w:val="24"/>
          <w:szCs w:val="24"/>
        </w:rPr>
        <w:t>The Government welcomes views on the threshold applying to a development as a whole, and whether this presents any challenges for phased developments where each phase is a separate chargeable development for CIL purposes. If so, should a lower threshold apply for each phase of a phased development?</w:t>
      </w:r>
    </w:p>
    <w:p w14:paraId="59345DCE" w14:textId="77777777" w:rsidR="00935236" w:rsidRDefault="00935236" w:rsidP="00935236">
      <w:pPr>
        <w:spacing w:line="240" w:lineRule="auto"/>
      </w:pPr>
    </w:p>
    <w:p w14:paraId="7CD9716F" w14:textId="47A744B6" w:rsidR="694917EE" w:rsidRDefault="694917EE" w:rsidP="6B02C682">
      <w:pPr>
        <w:ind w:left="1440"/>
        <w:rPr>
          <w:rFonts w:asciiTheme="majorHAnsi" w:hAnsiTheme="majorHAnsi" w:cstheme="majorBidi"/>
          <w:b/>
          <w:bCs/>
        </w:rPr>
      </w:pPr>
      <w:r>
        <w:t xml:space="preserve">The BPF supports the proposal to calculate the threshold on the basis of the total CIL liability for the development as a whole, rather than on individual phases. </w:t>
      </w:r>
    </w:p>
    <w:p w14:paraId="3BA7D744" w14:textId="7C37A10D" w:rsidR="694917EE" w:rsidRDefault="694917EE" w:rsidP="6B02C682">
      <w:pPr>
        <w:ind w:left="1440"/>
      </w:pPr>
      <w:r>
        <w:t xml:space="preserve"> </w:t>
      </w:r>
    </w:p>
    <w:p w14:paraId="491D8457" w14:textId="4486BA41" w:rsidR="694917EE" w:rsidRDefault="694917EE" w:rsidP="6B02C682">
      <w:pPr>
        <w:ind w:left="1440"/>
      </w:pPr>
      <w:r>
        <w:t xml:space="preserve">Assessing eligibility holistically better reflects how large and complex developments are planned, financed and delivered in practice. Affordable housing may be delivered disproportionately in specific phases, while later phases may deliver a higher proportion of market housing. Applying the threshold at a phase-by-phase level could therefore unfairly exclude developments that meet the policy intent overall. </w:t>
      </w:r>
    </w:p>
    <w:p w14:paraId="50FF2BBC" w14:textId="009F04C4" w:rsidR="694917EE" w:rsidRDefault="694917EE" w:rsidP="6B02C682">
      <w:pPr>
        <w:ind w:left="1440"/>
      </w:pPr>
      <w:r>
        <w:t xml:space="preserve"> </w:t>
      </w:r>
    </w:p>
    <w:p w14:paraId="5702B510" w14:textId="56ED7180" w:rsidR="694917EE" w:rsidRDefault="694917EE" w:rsidP="6B02C682">
      <w:pPr>
        <w:ind w:left="1440"/>
      </w:pPr>
      <w:r>
        <w:t>A whole-</w:t>
      </w:r>
      <w:r w:rsidR="00BA54B2">
        <w:t>of-</w:t>
      </w:r>
      <w:r>
        <w:t xml:space="preserve">development approach provides greater certainty, avoids unintended incentives around phasing, and supports efficient delivery by recognising the cumulative affordable housing contribution across the scheme. It also aligns more closely with how viability is assessed and managed at the scheme level. </w:t>
      </w:r>
    </w:p>
    <w:p w14:paraId="591C8A3C" w14:textId="21F12AC2" w:rsidR="694917EE" w:rsidRDefault="694917EE" w:rsidP="6B02C682">
      <w:pPr>
        <w:ind w:left="1440"/>
      </w:pPr>
      <w:r>
        <w:t xml:space="preserve"> </w:t>
      </w:r>
    </w:p>
    <w:p w14:paraId="0174B4D0" w14:textId="0650A4F0" w:rsidR="694917EE" w:rsidRDefault="694917EE" w:rsidP="6B02C682">
      <w:pPr>
        <w:ind w:left="1440"/>
      </w:pPr>
      <w:r>
        <w:lastRenderedPageBreak/>
        <w:t xml:space="preserve">However, the timeframe of the proposals, until March 2028 or until the implementation of the new London Plan, is not long enough to deliver a multi-phased scheme. The BPF recommends extending the duration of the relief to </w:t>
      </w:r>
      <w:r w:rsidR="00E402BD">
        <w:t xml:space="preserve">more closely align with established development cycles of around </w:t>
      </w:r>
      <w:r>
        <w:t>7 years. Extending the timeframe for relief will unlock more homes, by allowing multi-phased schemes to apply for this relief, which are typically much larger developments and therefore make more of an impact on housing delivery.</w:t>
      </w:r>
    </w:p>
    <w:p w14:paraId="0CC85F67" w14:textId="77777777" w:rsidR="00935236" w:rsidRDefault="00935236" w:rsidP="00935236">
      <w:pPr>
        <w:spacing w:line="240" w:lineRule="auto"/>
      </w:pPr>
    </w:p>
    <w:p w14:paraId="7E00ADFC" w14:textId="77777777" w:rsidR="00935236" w:rsidRDefault="00935236" w:rsidP="00935236">
      <w:pPr>
        <w:spacing w:line="240" w:lineRule="auto"/>
      </w:pPr>
    </w:p>
    <w:p w14:paraId="7B1F85E5" w14:textId="1CEB5A77" w:rsidR="00935236" w:rsidRDefault="00935236" w:rsidP="00935236">
      <w:pPr>
        <w:spacing w:line="240" w:lineRule="auto"/>
        <w:ind w:left="1560" w:hanging="1560"/>
      </w:pPr>
      <w:r w:rsidRPr="00935236">
        <w:rPr>
          <w:rFonts w:asciiTheme="majorHAnsi" w:hAnsiTheme="majorHAnsi" w:cstheme="majorHAnsi"/>
          <w:color w:val="198ECA" w:themeColor="accent1"/>
          <w:sz w:val="18"/>
          <w:szCs w:val="18"/>
        </w:rPr>
        <w:t xml:space="preserve">QUESTION </w:t>
      </w:r>
      <w:r>
        <w:rPr>
          <w:rFonts w:asciiTheme="majorHAnsi" w:hAnsiTheme="majorHAnsi" w:cstheme="majorHAnsi"/>
          <w:color w:val="198ECA" w:themeColor="accent1"/>
          <w:sz w:val="18"/>
          <w:szCs w:val="18"/>
        </w:rPr>
        <w:t>8</w:t>
      </w:r>
      <w:r>
        <w:tab/>
      </w:r>
      <w:r w:rsidRPr="00935236">
        <w:rPr>
          <w:rFonts w:cstheme="minorHAnsi"/>
          <w:color w:val="198ECA" w:themeColor="accent1"/>
          <w:sz w:val="24"/>
          <w:szCs w:val="24"/>
        </w:rPr>
        <w:t>The Government welcomes views on the proposal to require a minimum level of affordable housing as set out in this sub-section.</w:t>
      </w:r>
    </w:p>
    <w:p w14:paraId="03608B05" w14:textId="77777777" w:rsidR="00935236" w:rsidRDefault="00935236" w:rsidP="00935236">
      <w:pPr>
        <w:spacing w:line="240" w:lineRule="auto"/>
      </w:pPr>
    </w:p>
    <w:p w14:paraId="060BCAA3" w14:textId="41BCB10C" w:rsidR="00E80881" w:rsidRPr="00E80881" w:rsidRDefault="00E80881" w:rsidP="00E06D78">
      <w:pPr>
        <w:spacing w:line="240" w:lineRule="auto"/>
        <w:ind w:left="1440"/>
        <w:rPr>
          <w:rFonts w:ascii="Open Sans Light" w:eastAsia="Open Sans Light" w:hAnsi="Open Sans Light" w:cs="Open Sans Light"/>
        </w:rPr>
      </w:pPr>
      <w:r w:rsidRPr="00E80881">
        <w:rPr>
          <w:rFonts w:ascii="Open Sans Light" w:eastAsia="Open Sans Light" w:hAnsi="Open Sans Light" w:cs="Open Sans Light"/>
        </w:rPr>
        <w:t xml:space="preserve">The BPF </w:t>
      </w:r>
      <w:r w:rsidR="00E402BD">
        <w:rPr>
          <w:rFonts w:ascii="Open Sans Light" w:eastAsia="Open Sans Light" w:hAnsi="Open Sans Light" w:cs="Open Sans Light"/>
        </w:rPr>
        <w:t>supports the Government</w:t>
      </w:r>
      <w:r w:rsidR="004F1299">
        <w:rPr>
          <w:rFonts w:ascii="Open Sans Light" w:eastAsia="Open Sans Light" w:hAnsi="Open Sans Light" w:cs="Open Sans Light"/>
        </w:rPr>
        <w:t>’</w:t>
      </w:r>
      <w:r w:rsidR="00E402BD">
        <w:rPr>
          <w:rFonts w:ascii="Open Sans Light" w:eastAsia="Open Sans Light" w:hAnsi="Open Sans Light" w:cs="Open Sans Light"/>
        </w:rPr>
        <w:t xml:space="preserve">s ambitions to increase delivery of affordable housing. Against the backdrop of squeezed viability and stalled delivery, </w:t>
      </w:r>
      <w:r w:rsidR="00C66423">
        <w:rPr>
          <w:rFonts w:ascii="Open Sans Light" w:eastAsia="Open Sans Light" w:hAnsi="Open Sans Light" w:cs="Open Sans Light"/>
        </w:rPr>
        <w:t>we</w:t>
      </w:r>
      <w:r w:rsidR="00E402BD">
        <w:rPr>
          <w:rFonts w:ascii="Open Sans Light" w:eastAsia="Open Sans Light" w:hAnsi="Open Sans Light" w:cs="Open Sans Light"/>
        </w:rPr>
        <w:t xml:space="preserve"> </w:t>
      </w:r>
      <w:r w:rsidRPr="00E80881">
        <w:rPr>
          <w:rFonts w:ascii="Open Sans Light" w:eastAsia="Open Sans Light" w:hAnsi="Open Sans Light" w:cs="Open Sans Light"/>
        </w:rPr>
        <w:t>welcome the reduction of the affordable housing threshold to 20 per cent, which signals a positive intent from the Government to address the significant viability pressures facing residential development in London. However, this measure alone does not provide sufficient certainty for funders or developers to materially shift investment decisions, particularly for schemes in greatest need of support. For example, if a scheme could only support 8 per cent affordable housing through a viability appraisal, requiring it to pay its full CIL liability could prevent any uplift. A proportionate CIL relief in such cases could enable the delivery of a greater level of affordable housing, bringing otherwise unviable schemes back to life.</w:t>
      </w:r>
    </w:p>
    <w:p w14:paraId="0D698DB5" w14:textId="77777777" w:rsidR="00E80881" w:rsidRPr="00E80881" w:rsidRDefault="00E80881" w:rsidP="00E06D78">
      <w:pPr>
        <w:spacing w:line="240" w:lineRule="auto"/>
        <w:ind w:left="1440"/>
        <w:rPr>
          <w:rFonts w:ascii="Open Sans Light" w:eastAsia="Open Sans Light" w:hAnsi="Open Sans Light" w:cs="Open Sans Light"/>
        </w:rPr>
      </w:pPr>
    </w:p>
    <w:p w14:paraId="6D3DD610" w14:textId="77777777" w:rsidR="00F43501" w:rsidRDefault="00F43501" w:rsidP="00F92B30">
      <w:pPr>
        <w:spacing w:line="240" w:lineRule="auto"/>
        <w:ind w:left="1440"/>
        <w:rPr>
          <w:rFonts w:ascii="Open Sans Light" w:eastAsia="Open Sans Light" w:hAnsi="Open Sans Light" w:cs="Open Sans Light"/>
        </w:rPr>
      </w:pPr>
    </w:p>
    <w:p w14:paraId="6472FA33" w14:textId="0A5E3F33" w:rsidR="00935236" w:rsidRDefault="00F43501" w:rsidP="00E06D78">
      <w:pPr>
        <w:spacing w:line="240" w:lineRule="auto"/>
        <w:ind w:left="1440"/>
      </w:pPr>
      <w:r>
        <w:rPr>
          <w:rFonts w:ascii="Open Sans Light" w:eastAsia="Open Sans Light" w:hAnsi="Open Sans Light" w:cs="Open Sans Light"/>
        </w:rPr>
        <w:tab/>
      </w:r>
    </w:p>
    <w:p w14:paraId="29F55B3C" w14:textId="217D8B2F" w:rsidR="00935236" w:rsidRPr="00935236" w:rsidRDefault="00935236" w:rsidP="00935236">
      <w:pPr>
        <w:spacing w:line="240" w:lineRule="auto"/>
        <w:rPr>
          <w:color w:val="198ECA" w:themeColor="accent1"/>
          <w:sz w:val="24"/>
          <w:szCs w:val="24"/>
        </w:rPr>
      </w:pPr>
      <w:r w:rsidRPr="00935236">
        <w:rPr>
          <w:rFonts w:asciiTheme="majorHAnsi" w:hAnsiTheme="majorHAnsi" w:cstheme="majorHAnsi"/>
          <w:color w:val="198ECA" w:themeColor="accent1"/>
        </w:rPr>
        <w:t>QUESTION 9</w:t>
      </w:r>
      <w:r>
        <w:tab/>
        <w:t xml:space="preserve">  </w:t>
      </w:r>
      <w:r w:rsidRPr="00935236">
        <w:rPr>
          <w:color w:val="198ECA" w:themeColor="accent1"/>
          <w:sz w:val="24"/>
          <w:szCs w:val="24"/>
        </w:rPr>
        <w:t>Overall, are you supportive of the qualifying criteria outlined? Please set</w:t>
      </w:r>
    </w:p>
    <w:p w14:paraId="44B9C511" w14:textId="77777777" w:rsidR="00935236" w:rsidRDefault="00935236" w:rsidP="00935236">
      <w:pPr>
        <w:spacing w:line="240" w:lineRule="auto"/>
        <w:ind w:left="1560"/>
        <w:rPr>
          <w:color w:val="198ECA" w:themeColor="accent1"/>
          <w:sz w:val="24"/>
          <w:szCs w:val="24"/>
        </w:rPr>
      </w:pPr>
      <w:r w:rsidRPr="00935236">
        <w:rPr>
          <w:color w:val="198ECA" w:themeColor="accent1"/>
          <w:sz w:val="24"/>
          <w:szCs w:val="24"/>
        </w:rPr>
        <w:t>out your views.</w:t>
      </w:r>
    </w:p>
    <w:p w14:paraId="263F65A4" w14:textId="77777777" w:rsidR="00935236" w:rsidRPr="00935236" w:rsidRDefault="00935236" w:rsidP="00935236">
      <w:pPr>
        <w:spacing w:line="240" w:lineRule="auto"/>
        <w:ind w:firstLine="1418"/>
        <w:rPr>
          <w:color w:val="198ECA" w:themeColor="accent1"/>
          <w:sz w:val="24"/>
          <w:szCs w:val="24"/>
        </w:rPr>
      </w:pPr>
    </w:p>
    <w:p w14:paraId="17E54929" w14:textId="59D0B80C" w:rsidR="49F581F7" w:rsidRDefault="49F581F7" w:rsidP="6B02C682">
      <w:pPr>
        <w:spacing w:before="240" w:after="240"/>
        <w:ind w:left="1440"/>
        <w:rPr>
          <w:rFonts w:ascii="Open Sans Light" w:eastAsia="Open Sans Light" w:hAnsi="Open Sans Light" w:cs="Open Sans Light"/>
        </w:rPr>
      </w:pPr>
      <w:r w:rsidRPr="6B02C682">
        <w:rPr>
          <w:rFonts w:ascii="Open Sans Light" w:eastAsia="Open Sans Light" w:hAnsi="Open Sans Light" w:cs="Open Sans Light"/>
        </w:rPr>
        <w:t xml:space="preserve">The BPF is broadly supportive of the intent behind the proposed qualifying criteria but is concerned that, as currently drafted, they are likely to apply to only a narrow subset of schemes. In particular, the exclusion of, or lack of clarity around, </w:t>
      </w:r>
      <w:r w:rsidR="00AB2B1A">
        <w:rPr>
          <w:rFonts w:ascii="Open Sans Light" w:eastAsia="Open Sans Light" w:hAnsi="Open Sans Light" w:cs="Open Sans Light"/>
        </w:rPr>
        <w:t>C</w:t>
      </w:r>
      <w:r w:rsidRPr="6B02C682">
        <w:rPr>
          <w:rFonts w:ascii="Open Sans Light" w:eastAsia="Open Sans Light" w:hAnsi="Open Sans Light" w:cs="Open Sans Light"/>
        </w:rPr>
        <w:t>o-</w:t>
      </w:r>
      <w:r w:rsidR="00AB2B1A">
        <w:rPr>
          <w:rFonts w:ascii="Open Sans Light" w:eastAsia="Open Sans Light" w:hAnsi="Open Sans Light" w:cs="Open Sans Light"/>
        </w:rPr>
        <w:t>L</w:t>
      </w:r>
      <w:r w:rsidRPr="6B02C682">
        <w:rPr>
          <w:rFonts w:ascii="Open Sans Light" w:eastAsia="Open Sans Light" w:hAnsi="Open Sans Light" w:cs="Open Sans Light"/>
        </w:rPr>
        <w:t>iving and other alternative residential typologies- as set out in our response to Question 5- risks missing an important opportunity to support delivery in sectors where development starts have fallen sharply in recent years.</w:t>
      </w:r>
    </w:p>
    <w:p w14:paraId="7943A9C6" w14:textId="0A877E3D" w:rsidR="49F581F7" w:rsidRDefault="49F581F7" w:rsidP="6B02C682">
      <w:pPr>
        <w:spacing w:before="240" w:after="240"/>
        <w:ind w:left="1440"/>
        <w:rPr>
          <w:rFonts w:ascii="Open Sans Light" w:eastAsia="Open Sans Light" w:hAnsi="Open Sans Light" w:cs="Open Sans Light"/>
        </w:rPr>
      </w:pPr>
      <w:r w:rsidRPr="6B02C682">
        <w:rPr>
          <w:rFonts w:ascii="Open Sans Light" w:eastAsia="Open Sans Light" w:hAnsi="Open Sans Light" w:cs="Open Sans Light"/>
        </w:rPr>
        <w:t xml:space="preserve">The BPF also reiterates its concern that smaller sites are likely to be excluded from </w:t>
      </w:r>
      <w:r w:rsidR="008722F6">
        <w:rPr>
          <w:rFonts w:ascii="Open Sans Light" w:eastAsia="Open Sans Light" w:hAnsi="Open Sans Light" w:cs="Open Sans Light"/>
        </w:rPr>
        <w:t>the benefits of</w:t>
      </w:r>
      <w:r w:rsidRPr="6B02C682">
        <w:rPr>
          <w:rFonts w:ascii="Open Sans Light" w:eastAsia="Open Sans Light" w:hAnsi="Open Sans Light" w:cs="Open Sans Light"/>
        </w:rPr>
        <w:t xml:space="preserve"> these measures, as outlined in our response to Question 6. This risks continuing to constrain housing delivery that could otherwise be unlocked through relatively modest amendments to the qualifying criteria, undermining the policy’s stated objective of accelerating supply.</w:t>
      </w:r>
    </w:p>
    <w:p w14:paraId="49E728A1" w14:textId="396CE11F" w:rsidR="6B02C682" w:rsidRDefault="6B02C682" w:rsidP="6B02C682">
      <w:pPr>
        <w:spacing w:line="240" w:lineRule="auto"/>
        <w:rPr>
          <w:color w:val="198ECA" w:themeColor="accent1"/>
          <w:sz w:val="24"/>
          <w:szCs w:val="24"/>
        </w:rPr>
      </w:pPr>
    </w:p>
    <w:p w14:paraId="608CBB92" w14:textId="77777777" w:rsidR="00935236" w:rsidRDefault="00935236" w:rsidP="00935236">
      <w:pPr>
        <w:spacing w:line="240" w:lineRule="auto"/>
      </w:pPr>
    </w:p>
    <w:p w14:paraId="24EF4361" w14:textId="723B1B21" w:rsidR="00935236" w:rsidRPr="00935236" w:rsidRDefault="00935236" w:rsidP="00935236">
      <w:pPr>
        <w:spacing w:line="240" w:lineRule="auto"/>
        <w:ind w:left="1560" w:hanging="1560"/>
        <w:rPr>
          <w:color w:val="198ECA" w:themeColor="accent1"/>
          <w:sz w:val="24"/>
          <w:szCs w:val="24"/>
        </w:rPr>
      </w:pPr>
      <w:r w:rsidRPr="00935236">
        <w:rPr>
          <w:rFonts w:asciiTheme="majorHAnsi" w:hAnsiTheme="majorHAnsi" w:cstheme="majorHAnsi"/>
          <w:color w:val="198ECA" w:themeColor="accent1"/>
        </w:rPr>
        <w:lastRenderedPageBreak/>
        <w:t>QUESTION 10</w:t>
      </w:r>
      <w:r>
        <w:tab/>
      </w:r>
      <w:r w:rsidRPr="00935236">
        <w:rPr>
          <w:color w:val="198ECA" w:themeColor="accent1"/>
          <w:sz w:val="24"/>
          <w:szCs w:val="24"/>
        </w:rPr>
        <w:t>The Government welcomes views and evidence on whether a time limited borough-level CIL relief in London will have the desired effect of improving viability to support housebuilding in London? As part of this, the Government would welcome case studies on the impact that borough-level CIL has on development in London.</w:t>
      </w:r>
    </w:p>
    <w:p w14:paraId="09F8B5F6" w14:textId="77777777" w:rsidR="00935236" w:rsidRDefault="00935236" w:rsidP="00935236">
      <w:pPr>
        <w:spacing w:line="240" w:lineRule="auto"/>
      </w:pPr>
    </w:p>
    <w:p w14:paraId="1D9F7DF8" w14:textId="46CC6C2F" w:rsidR="00935236" w:rsidRDefault="368B0C30" w:rsidP="6B02C682">
      <w:pPr>
        <w:spacing w:before="240" w:after="240"/>
        <w:ind w:left="1440"/>
        <w:rPr>
          <w:rFonts w:ascii="Open Sans Light" w:eastAsia="Open Sans Light" w:hAnsi="Open Sans Light" w:cs="Open Sans Light"/>
        </w:rPr>
      </w:pPr>
      <w:r w:rsidRPr="6B02C682">
        <w:rPr>
          <w:rFonts w:ascii="Open Sans Light" w:eastAsia="Open Sans Light" w:hAnsi="Open Sans Light" w:cs="Open Sans Light"/>
        </w:rPr>
        <w:t xml:space="preserve">The BPF strongly supports the Government’s objective of improving scheme viability to unlock housing delivery across London. We welcome the move toward a more certain, </w:t>
      </w:r>
      <w:r w:rsidR="00E402BD">
        <w:rPr>
          <w:rFonts w:ascii="Open Sans Light" w:eastAsia="Open Sans Light" w:hAnsi="Open Sans Light" w:cs="Open Sans Light"/>
        </w:rPr>
        <w:t>consistent</w:t>
      </w:r>
      <w:r w:rsidRPr="6B02C682">
        <w:rPr>
          <w:rFonts w:ascii="Open Sans Light" w:eastAsia="Open Sans Light" w:hAnsi="Open Sans Light" w:cs="Open Sans Light"/>
        </w:rPr>
        <w:t xml:space="preserve"> system; however, to ensure this measure achieves its full potential, we believe it must be strengthened to address the cumulative economic pressures currently facing the industry.</w:t>
      </w:r>
    </w:p>
    <w:p w14:paraId="555C2BA7" w14:textId="1FC2C409" w:rsidR="00935236" w:rsidRDefault="368B0C30" w:rsidP="6B02C682">
      <w:pPr>
        <w:spacing w:before="240" w:after="240"/>
        <w:ind w:left="1440"/>
        <w:rPr>
          <w:rFonts w:ascii="Open Sans Light" w:eastAsia="Open Sans Light" w:hAnsi="Open Sans Light" w:cs="Open Sans Light"/>
        </w:rPr>
      </w:pPr>
      <w:r w:rsidRPr="6B02C682">
        <w:rPr>
          <w:rFonts w:ascii="Open Sans Light" w:eastAsia="Open Sans Light" w:hAnsi="Open Sans Light" w:cs="Open Sans Light"/>
        </w:rPr>
        <w:t xml:space="preserve">While CIL relief is a vital lever, our members consistently report that it is rarely the sole factor rendering a scheme unviable. Instead, delivery is currently constrained by a "perfect storm" of high financing costs, construction inflation, and increasing </w:t>
      </w:r>
      <w:r w:rsidR="00A8614E">
        <w:rPr>
          <w:rFonts w:ascii="Open Sans Light" w:eastAsia="Open Sans Light" w:hAnsi="Open Sans Light" w:cs="Open Sans Light"/>
        </w:rPr>
        <w:t xml:space="preserve">tax and </w:t>
      </w:r>
      <w:r w:rsidRPr="6B02C682">
        <w:rPr>
          <w:rFonts w:ascii="Open Sans Light" w:eastAsia="Open Sans Light" w:hAnsi="Open Sans Light" w:cs="Open Sans Light"/>
        </w:rPr>
        <w:t>regulatory requirements. In this context, a 50% relief threshold, while welcome, may not be sufficient to move the needle for many stalled developments. We suggest that increasing the relief</w:t>
      </w:r>
      <w:r w:rsidR="00A8614E">
        <w:rPr>
          <w:rFonts w:ascii="Open Sans Light" w:eastAsia="Open Sans Light" w:hAnsi="Open Sans Light" w:cs="Open Sans Light"/>
        </w:rPr>
        <w:t xml:space="preserve"> and the inclusion of </w:t>
      </w:r>
      <w:r w:rsidR="00AB2B1A">
        <w:rPr>
          <w:rFonts w:ascii="Open Sans Light" w:eastAsia="Open Sans Light" w:hAnsi="Open Sans Light" w:cs="Open Sans Light"/>
        </w:rPr>
        <w:t>C</w:t>
      </w:r>
      <w:r w:rsidR="00A8614E">
        <w:rPr>
          <w:rFonts w:ascii="Open Sans Light" w:eastAsia="Open Sans Light" w:hAnsi="Open Sans Light" w:cs="Open Sans Light"/>
        </w:rPr>
        <w:t>o-</w:t>
      </w:r>
      <w:r w:rsidR="00AB2B1A">
        <w:rPr>
          <w:rFonts w:ascii="Open Sans Light" w:eastAsia="Open Sans Light" w:hAnsi="Open Sans Light" w:cs="Open Sans Light"/>
        </w:rPr>
        <w:t>L</w:t>
      </w:r>
      <w:r w:rsidR="00A8614E">
        <w:rPr>
          <w:rFonts w:ascii="Open Sans Light" w:eastAsia="Open Sans Light" w:hAnsi="Open Sans Light" w:cs="Open Sans Light"/>
        </w:rPr>
        <w:t xml:space="preserve">iving and PBSA would </w:t>
      </w:r>
      <w:r w:rsidRPr="6B02C682">
        <w:rPr>
          <w:rFonts w:ascii="Open Sans Light" w:eastAsia="Open Sans Light" w:hAnsi="Open Sans Light" w:cs="Open Sans Light"/>
        </w:rPr>
        <w:t xml:space="preserve">broaden support for the package and ensure a </w:t>
      </w:r>
      <w:r w:rsidR="00E53351">
        <w:rPr>
          <w:rFonts w:ascii="Open Sans Light" w:eastAsia="Open Sans Light" w:hAnsi="Open Sans Light" w:cs="Open Sans Light"/>
        </w:rPr>
        <w:t>more</w:t>
      </w:r>
      <w:r w:rsidR="00E53351" w:rsidRPr="6B02C682">
        <w:rPr>
          <w:rFonts w:ascii="Open Sans Light" w:eastAsia="Open Sans Light" w:hAnsi="Open Sans Light" w:cs="Open Sans Light"/>
        </w:rPr>
        <w:t xml:space="preserve"> </w:t>
      </w:r>
      <w:r w:rsidR="00E53351">
        <w:rPr>
          <w:rFonts w:ascii="Open Sans Light" w:eastAsia="Open Sans Light" w:hAnsi="Open Sans Light" w:cs="Open Sans Light"/>
        </w:rPr>
        <w:t>meaningful</w:t>
      </w:r>
      <w:r w:rsidR="00E53351" w:rsidRPr="6B02C682">
        <w:rPr>
          <w:rFonts w:ascii="Open Sans Light" w:eastAsia="Open Sans Light" w:hAnsi="Open Sans Light" w:cs="Open Sans Light"/>
        </w:rPr>
        <w:t xml:space="preserve"> </w:t>
      </w:r>
      <w:r w:rsidRPr="6B02C682">
        <w:rPr>
          <w:rFonts w:ascii="Open Sans Light" w:eastAsia="Open Sans Light" w:hAnsi="Open Sans Light" w:cs="Open Sans Light"/>
        </w:rPr>
        <w:t>impact on housing numbers.</w:t>
      </w:r>
    </w:p>
    <w:p w14:paraId="278D84F7" w14:textId="77777777" w:rsidR="00514C80" w:rsidRDefault="368B0C30" w:rsidP="00514C80">
      <w:pPr>
        <w:spacing w:before="240" w:after="240"/>
        <w:ind w:left="1440"/>
        <w:rPr>
          <w:rFonts w:ascii="Open Sans Light" w:eastAsia="Open Sans Light" w:hAnsi="Open Sans Light" w:cs="Open Sans Light"/>
        </w:rPr>
      </w:pPr>
      <w:r w:rsidRPr="6B02C682">
        <w:rPr>
          <w:rFonts w:ascii="Open Sans Light" w:eastAsia="Open Sans Light" w:hAnsi="Open Sans Light" w:cs="Open Sans Light"/>
        </w:rPr>
        <w:t>Furthermore, we are concerned that the proposed time-limited nature of the relief may inadvertently create a "cliff-edge" effect. The current timeframe does not align with the 7-to-10-year development cycle typical of major London schemes. To meaningfully influence investor sentiment and unlock large-scale delivery, the relief window should be extended to provide the long-term certainty required for complex, multi-phase projects.</w:t>
      </w:r>
    </w:p>
    <w:p w14:paraId="675A5355" w14:textId="014419E2" w:rsidR="00514C80" w:rsidRDefault="00514C80" w:rsidP="00E73B90">
      <w:pPr>
        <w:spacing w:before="240" w:after="240"/>
        <w:ind w:left="1440"/>
        <w:rPr>
          <w:rFonts w:ascii="Open Sans Light" w:eastAsia="Open Sans Light" w:hAnsi="Open Sans Light" w:cs="Open Sans Light"/>
        </w:rPr>
      </w:pPr>
      <w:r>
        <w:rPr>
          <w:rFonts w:ascii="Open Sans Light" w:eastAsia="Open Sans Light" w:hAnsi="Open Sans Light" w:cs="Open Sans Light"/>
        </w:rPr>
        <w:t>The Government could</w:t>
      </w:r>
      <w:r w:rsidR="000F0965">
        <w:rPr>
          <w:rFonts w:ascii="Open Sans Light" w:eastAsia="Open Sans Light" w:hAnsi="Open Sans Light" w:cs="Open Sans Light"/>
        </w:rPr>
        <w:t xml:space="preserve">, </w:t>
      </w:r>
      <w:r>
        <w:rPr>
          <w:rFonts w:ascii="Open Sans Light" w:eastAsia="Open Sans Light" w:hAnsi="Open Sans Light" w:cs="Open Sans Light"/>
        </w:rPr>
        <w:t xml:space="preserve">alongside these measures, revisit </w:t>
      </w:r>
      <w:r w:rsidR="00795543" w:rsidRPr="00E80881">
        <w:rPr>
          <w:rFonts w:ascii="Open Sans Light" w:eastAsia="Open Sans Light" w:hAnsi="Open Sans Light" w:cs="Open Sans Light"/>
        </w:rPr>
        <w:t>existing viability mechanisms, such as Section 106 review clauses, which are commonly used to address stalled or non-viable developments but are not designed to unlock schemes already stuck in the planning system. One potential route would be to revisit the lesser-utilised application process under s106A(3). Currently constrained by the “5-year rule” and uncertainty over whether modifications continue to serve a “useful purpose,” this mechanism could be strengthened by reducing or removing the time limit and clarifying that obligations demonstrably impeding delivery on viability grounds may be considered as no longer serving a useful purpose.</w:t>
      </w:r>
    </w:p>
    <w:p w14:paraId="39F90E48" w14:textId="47C32EE9" w:rsidR="00342DAF" w:rsidRDefault="00795543" w:rsidP="00E06D78">
      <w:pPr>
        <w:spacing w:line="240" w:lineRule="auto"/>
        <w:ind w:left="1440"/>
        <w:rPr>
          <w:rFonts w:ascii="Open Sans Light" w:eastAsia="Open Sans Light" w:hAnsi="Open Sans Light" w:cs="Open Sans Light"/>
        </w:rPr>
      </w:pPr>
      <w:r w:rsidRPr="00E80881">
        <w:rPr>
          <w:rFonts w:ascii="Open Sans Light" w:eastAsia="Open Sans Light" w:hAnsi="Open Sans Light" w:cs="Open Sans Light"/>
        </w:rPr>
        <w:t>The BPF therefore urges the Government to go further in tackling the structural barriers preventing housing delivery. Reintroducing Section 106BA,</w:t>
      </w:r>
      <w:r w:rsidR="00342DAF">
        <w:rPr>
          <w:rFonts w:ascii="Open Sans Light" w:eastAsia="Open Sans Light" w:hAnsi="Open Sans Light" w:cs="Open Sans Light"/>
        </w:rPr>
        <w:t xml:space="preserve"> or the use of the draft NPPF’s proposed Section 73B route, </w:t>
      </w:r>
      <w:r w:rsidRPr="00E80881">
        <w:rPr>
          <w:rFonts w:ascii="Open Sans Light" w:eastAsia="Open Sans Light" w:hAnsi="Open Sans Light" w:cs="Open Sans Light"/>
        </w:rPr>
        <w:t>alongside targeted reforms to s106A(3) and proportionate CIL relief for schemes unable to meet the 20 per cent threshold, would provide a practical route to unlock consented or in-planning schemes that are currently undeliverable. This approach would enable homes to be delivered more quickly and at scale, supporting the Government’s ambition to accelerate housing delivery and meet its targets.</w:t>
      </w:r>
    </w:p>
    <w:p w14:paraId="67A56807" w14:textId="514C0E74" w:rsidR="00935236" w:rsidRDefault="368B0C30" w:rsidP="6B02C682">
      <w:pPr>
        <w:spacing w:before="240" w:after="240"/>
        <w:ind w:left="1440"/>
        <w:rPr>
          <w:rFonts w:ascii="Open Sans Light" w:eastAsia="Open Sans Light" w:hAnsi="Open Sans Light" w:cs="Open Sans Light"/>
        </w:rPr>
      </w:pPr>
      <w:r w:rsidRPr="6B02C682">
        <w:rPr>
          <w:rFonts w:ascii="Open Sans Light" w:eastAsia="Open Sans Light" w:hAnsi="Open Sans Light" w:cs="Open Sans Light"/>
        </w:rPr>
        <w:lastRenderedPageBreak/>
        <w:t>By refining the threshold and extending the implementation window, the Government can ensure this policy moves beyond marginal gains to become a high-impact tool that successfully restarts delivery across the capital.</w:t>
      </w:r>
    </w:p>
    <w:p w14:paraId="04A89566" w14:textId="7A8CEDF0" w:rsidR="00935236" w:rsidRDefault="00935236" w:rsidP="00935236">
      <w:pPr>
        <w:spacing w:line="240" w:lineRule="auto"/>
      </w:pPr>
    </w:p>
    <w:p w14:paraId="7A1BC27A" w14:textId="77777777" w:rsidR="00935236" w:rsidRDefault="00935236" w:rsidP="00935236">
      <w:pPr>
        <w:spacing w:line="240" w:lineRule="auto"/>
      </w:pPr>
    </w:p>
    <w:p w14:paraId="4F2AE7BB" w14:textId="77777777" w:rsidR="00935236" w:rsidRPr="00935236" w:rsidRDefault="00935236" w:rsidP="00935236">
      <w:pPr>
        <w:spacing w:line="240" w:lineRule="auto"/>
        <w:ind w:left="1560" w:hanging="1560"/>
        <w:rPr>
          <w:color w:val="198ECA" w:themeColor="accent1"/>
        </w:rPr>
      </w:pPr>
      <w:r w:rsidRPr="00935236">
        <w:rPr>
          <w:rFonts w:asciiTheme="majorHAnsi" w:hAnsiTheme="majorHAnsi" w:cstheme="majorHAnsi"/>
          <w:color w:val="198ECA" w:themeColor="accent1"/>
        </w:rPr>
        <w:t>QUESTION 11</w:t>
      </w:r>
      <w:r w:rsidRPr="00935236">
        <w:rPr>
          <w:color w:val="198ECA" w:themeColor="accent1"/>
        </w:rPr>
        <w:tab/>
      </w:r>
      <w:r w:rsidRPr="00935236">
        <w:rPr>
          <w:rFonts w:cstheme="minorHAnsi"/>
          <w:color w:val="198ECA" w:themeColor="accent1"/>
          <w:sz w:val="24"/>
          <w:szCs w:val="24"/>
        </w:rPr>
        <w:t>Are there any specific criteria that you think could be clarified or adjusted? If so, please give your reasons why.</w:t>
      </w:r>
    </w:p>
    <w:p w14:paraId="3C08C9CD" w14:textId="77777777" w:rsidR="00935236" w:rsidRDefault="00935236" w:rsidP="00935236">
      <w:pPr>
        <w:spacing w:line="240" w:lineRule="auto"/>
      </w:pPr>
    </w:p>
    <w:p w14:paraId="69099673" w14:textId="0B7994EB" w:rsidR="00935236" w:rsidRDefault="2AE0715A" w:rsidP="6B02C682">
      <w:pPr>
        <w:spacing w:before="240" w:after="240"/>
        <w:ind w:left="1440"/>
        <w:rPr>
          <w:rFonts w:ascii="Open Sans Light" w:eastAsia="Open Sans Light" w:hAnsi="Open Sans Light" w:cs="Open Sans Light"/>
        </w:rPr>
      </w:pPr>
      <w:r w:rsidRPr="6B02C682">
        <w:rPr>
          <w:rFonts w:ascii="Open Sans Light" w:eastAsia="Open Sans Light" w:hAnsi="Open Sans Light" w:cs="Open Sans Light"/>
        </w:rPr>
        <w:t xml:space="preserve">We suggest clarification on several points. </w:t>
      </w:r>
    </w:p>
    <w:p w14:paraId="3ECEFA9C" w14:textId="7D03DD2A" w:rsidR="00935236" w:rsidRDefault="2AE0715A" w:rsidP="6B02C682">
      <w:pPr>
        <w:spacing w:before="240" w:after="240"/>
        <w:ind w:left="1440"/>
        <w:rPr>
          <w:rFonts w:ascii="Open Sans Light" w:eastAsia="Open Sans Light" w:hAnsi="Open Sans Light" w:cs="Open Sans Light"/>
        </w:rPr>
      </w:pPr>
      <w:r w:rsidRPr="6B02C682">
        <w:rPr>
          <w:rFonts w:ascii="Open Sans Light" w:eastAsia="Open Sans Light" w:hAnsi="Open Sans Light" w:cs="Open Sans Light"/>
        </w:rPr>
        <w:t xml:space="preserve">First, it is essential to clarify the interaction with late-stage viability reviews; the relief must be "locked in" at the point of application to prevent it from being clawed back if market conditions change. </w:t>
      </w:r>
    </w:p>
    <w:p w14:paraId="1A6D4242" w14:textId="001F7068" w:rsidR="00935236" w:rsidRDefault="2AE0715A" w:rsidP="6B02C682">
      <w:pPr>
        <w:spacing w:before="240" w:after="240"/>
        <w:ind w:left="1440"/>
        <w:rPr>
          <w:rFonts w:ascii="Open Sans Light" w:eastAsia="Open Sans Light" w:hAnsi="Open Sans Light" w:cs="Open Sans Light"/>
        </w:rPr>
      </w:pPr>
      <w:r w:rsidRPr="6B02C682">
        <w:rPr>
          <w:rFonts w:ascii="Open Sans Light" w:eastAsia="Open Sans Light" w:hAnsi="Open Sans Light" w:cs="Open Sans Light"/>
        </w:rPr>
        <w:t>Second, the Government should confirm that Section 73 applications for minor material amendments do not trigger a loss of relief, as this would penalise developers for optimizing schemes during delivery.</w:t>
      </w:r>
    </w:p>
    <w:p w14:paraId="20BD0B0D" w14:textId="61ED22B4" w:rsidR="00935236" w:rsidRDefault="2AE0715A" w:rsidP="6B02C682">
      <w:pPr>
        <w:spacing w:before="240" w:after="240"/>
        <w:ind w:left="1440"/>
        <w:rPr>
          <w:rFonts w:ascii="Open Sans Light" w:eastAsia="Open Sans Light" w:hAnsi="Open Sans Light" w:cs="Open Sans Light"/>
        </w:rPr>
      </w:pPr>
      <w:r w:rsidRPr="6B02C682">
        <w:rPr>
          <w:rFonts w:ascii="Open Sans Light" w:eastAsia="Open Sans Light" w:hAnsi="Open Sans Light" w:cs="Open Sans Light"/>
        </w:rPr>
        <w:t xml:space="preserve">Additionally, we seek clarity on how this regime aligns with the draft NPPF, specifically regarding the "Grey Belt" designation. </w:t>
      </w:r>
    </w:p>
    <w:p w14:paraId="1D3D09FD" w14:textId="46AC9EBB" w:rsidR="00E62CA4" w:rsidRDefault="2AE0715A" w:rsidP="6B02C682">
      <w:pPr>
        <w:spacing w:before="240" w:after="240"/>
        <w:ind w:left="1440"/>
        <w:rPr>
          <w:rFonts w:ascii="Open Sans Light" w:eastAsia="Open Sans Light" w:hAnsi="Open Sans Light" w:cs="Open Sans Light"/>
        </w:rPr>
      </w:pPr>
      <w:r w:rsidRPr="6B02C682">
        <w:rPr>
          <w:rFonts w:ascii="Open Sans Light" w:eastAsia="Open Sans Light" w:hAnsi="Open Sans Light" w:cs="Open Sans Light"/>
        </w:rPr>
        <w:t>Finally, we suggest a more flexible sequencing for Section 106 agreements; requiring a signed agreement before a relief application is made creates a circular delay, as Section 106 obligations are often contingent on the final CIL liability.</w:t>
      </w:r>
      <w:r w:rsidR="00E62CA4">
        <w:rPr>
          <w:rFonts w:ascii="Open Sans Light" w:eastAsia="Open Sans Light" w:hAnsi="Open Sans Light" w:cs="Open Sans Light"/>
        </w:rPr>
        <w:t xml:space="preserve"> </w:t>
      </w:r>
      <w:r w:rsidR="00E62CA4" w:rsidRPr="00E62CA4">
        <w:rPr>
          <w:rFonts w:ascii="Open Sans Light" w:eastAsia="Open Sans Light" w:hAnsi="Open Sans Light" w:cs="Open Sans Light"/>
        </w:rPr>
        <w:t xml:space="preserve">This timing issue is particularly acute for recently consented but </w:t>
      </w:r>
      <w:r w:rsidR="00EE0A09">
        <w:rPr>
          <w:rFonts w:ascii="Open Sans Light" w:eastAsia="Open Sans Light" w:hAnsi="Open Sans Light" w:cs="Open Sans Light"/>
        </w:rPr>
        <w:t>not c</w:t>
      </w:r>
      <w:r w:rsidR="00E62CA4" w:rsidRPr="00E62CA4">
        <w:rPr>
          <w:rFonts w:ascii="Open Sans Light" w:eastAsia="Open Sans Light" w:hAnsi="Open Sans Light" w:cs="Open Sans Light"/>
        </w:rPr>
        <w:t>ommenced schemes: developers and investors may be caught between existing implementation deadlines and the prospect of upcoming relief, creating a risk that they delay commencement to benefit from it. Allowing schemes that have commenced</w:t>
      </w:r>
      <w:r w:rsidR="00E62CA4">
        <w:rPr>
          <w:rFonts w:ascii="Open Sans Light" w:eastAsia="Open Sans Light" w:hAnsi="Open Sans Light" w:cs="Open Sans Light"/>
        </w:rPr>
        <w:t xml:space="preserve">, </w:t>
      </w:r>
      <w:r w:rsidR="00E62CA4" w:rsidRPr="00E62CA4">
        <w:rPr>
          <w:rFonts w:ascii="Open Sans Light" w:eastAsia="Open Sans Light" w:hAnsi="Open Sans Light" w:cs="Open Sans Light"/>
        </w:rPr>
        <w:t>or that have not yet reached particular milestones</w:t>
      </w:r>
      <w:r w:rsidR="00E62CA4">
        <w:rPr>
          <w:rFonts w:ascii="Open Sans Light" w:eastAsia="Open Sans Light" w:hAnsi="Open Sans Light" w:cs="Open Sans Light"/>
        </w:rPr>
        <w:t xml:space="preserve">, </w:t>
      </w:r>
      <w:r w:rsidR="00E62CA4" w:rsidRPr="00E62CA4">
        <w:rPr>
          <w:rFonts w:ascii="Open Sans Light" w:eastAsia="Open Sans Light" w:hAnsi="Open Sans Light" w:cs="Open Sans Light"/>
        </w:rPr>
        <w:t>to qualify for relief would help avoid perverse short-term incentives and support smoother, faster delivery.</w:t>
      </w:r>
      <w:r w:rsidRPr="6B02C682">
        <w:rPr>
          <w:rFonts w:ascii="Open Sans Light" w:eastAsia="Open Sans Light" w:hAnsi="Open Sans Light" w:cs="Open Sans Light"/>
        </w:rPr>
        <w:t xml:space="preserve"> </w:t>
      </w:r>
    </w:p>
    <w:p w14:paraId="481806E4" w14:textId="12382385" w:rsidR="00935236" w:rsidRDefault="2AE0715A" w:rsidP="6B02C682">
      <w:pPr>
        <w:spacing w:before="240" w:after="240"/>
        <w:ind w:left="1440"/>
        <w:rPr>
          <w:rFonts w:ascii="Open Sans Light" w:eastAsia="Open Sans Light" w:hAnsi="Open Sans Light" w:cs="Open Sans Light"/>
        </w:rPr>
      </w:pPr>
      <w:r w:rsidRPr="6B02C682">
        <w:rPr>
          <w:rFonts w:ascii="Open Sans Light" w:eastAsia="Open Sans Light" w:hAnsi="Open Sans Light" w:cs="Open Sans Light"/>
        </w:rPr>
        <w:t xml:space="preserve">Clear, national guidance on these points will reduce borough-level </w:t>
      </w:r>
      <w:r w:rsidR="00A8614E">
        <w:rPr>
          <w:rFonts w:ascii="Open Sans Light" w:eastAsia="Open Sans Light" w:hAnsi="Open Sans Light" w:cs="Open Sans Light"/>
        </w:rPr>
        <w:t>inconsistency</w:t>
      </w:r>
      <w:r w:rsidRPr="6B02C682">
        <w:rPr>
          <w:rFonts w:ascii="Open Sans Light" w:eastAsia="Open Sans Light" w:hAnsi="Open Sans Light" w:cs="Open Sans Light"/>
        </w:rPr>
        <w:t xml:space="preserve"> and accelerate delivery.</w:t>
      </w:r>
    </w:p>
    <w:p w14:paraId="11633683" w14:textId="4AE1E31B" w:rsidR="00935236" w:rsidRDefault="00935236" w:rsidP="00935236">
      <w:pPr>
        <w:spacing w:line="240" w:lineRule="auto"/>
      </w:pPr>
    </w:p>
    <w:p w14:paraId="3AEF4DED" w14:textId="2FD6AC63" w:rsidR="00935236" w:rsidRDefault="00935236" w:rsidP="6B02C682">
      <w:pPr>
        <w:spacing w:line="240" w:lineRule="auto"/>
        <w:ind w:left="1560" w:hanging="1560"/>
      </w:pPr>
      <w:r w:rsidRPr="6B02C682">
        <w:rPr>
          <w:rFonts w:asciiTheme="majorHAnsi" w:hAnsiTheme="majorHAnsi" w:cstheme="majorBidi"/>
          <w:color w:val="198ECA" w:themeColor="accent1"/>
        </w:rPr>
        <w:t>QUESTION 12</w:t>
      </w:r>
      <w:r>
        <w:tab/>
      </w:r>
      <w:r w:rsidRPr="6B02C682">
        <w:rPr>
          <w:color w:val="198ECA" w:themeColor="accent1"/>
          <w:sz w:val="24"/>
          <w:szCs w:val="24"/>
        </w:rPr>
        <w:t>Are there any additional eligibility criteria you think should be considered for the CIL relief beyond those proposed? Are there any other observations or comments you wish to make?</w:t>
      </w:r>
    </w:p>
    <w:p w14:paraId="6168E221" w14:textId="2879010A" w:rsidR="00935236" w:rsidRDefault="00935236" w:rsidP="6B02C682">
      <w:pPr>
        <w:spacing w:line="240" w:lineRule="auto"/>
        <w:ind w:left="1560" w:hanging="1560"/>
        <w:rPr>
          <w:color w:val="198ECA" w:themeColor="accent1"/>
          <w:sz w:val="24"/>
          <w:szCs w:val="24"/>
        </w:rPr>
      </w:pPr>
    </w:p>
    <w:p w14:paraId="14EDC32B" w14:textId="3CA7564E" w:rsidR="00935236" w:rsidRDefault="5D4AF7EB" w:rsidP="6B02C682">
      <w:pPr>
        <w:pStyle w:val="BodyText"/>
        <w:ind w:left="1440"/>
        <w:rPr>
          <w:rFonts w:ascii="Open Sans Light" w:eastAsia="Open Sans Light" w:hAnsi="Open Sans Light" w:cs="Open Sans Light"/>
          <w:sz w:val="20"/>
          <w:szCs w:val="20"/>
        </w:rPr>
      </w:pPr>
      <w:r w:rsidRPr="6B02C682">
        <w:rPr>
          <w:rFonts w:ascii="Open Sans Light" w:eastAsia="Open Sans Light" w:hAnsi="Open Sans Light" w:cs="Open Sans Light"/>
          <w:sz w:val="20"/>
          <w:szCs w:val="20"/>
        </w:rPr>
        <w:t>The BPF encourages the Government to consider whether additional eligibility criteria could be introduced to better target the relief at schemes that can deliver homes quickly and at scale.</w:t>
      </w:r>
    </w:p>
    <w:p w14:paraId="31899876" w14:textId="5D53582E" w:rsidR="00935236" w:rsidRDefault="00935236" w:rsidP="6B02C682">
      <w:pPr>
        <w:ind w:left="1440"/>
        <w:rPr>
          <w:rFonts w:ascii="Open Sans Light" w:eastAsia="Open Sans Light" w:hAnsi="Open Sans Light" w:cs="Open Sans Light"/>
        </w:rPr>
      </w:pPr>
    </w:p>
    <w:p w14:paraId="2D763934" w14:textId="5B36F8F2" w:rsidR="00935236" w:rsidRDefault="5D4AF7EB" w:rsidP="6B02C682">
      <w:pPr>
        <w:pStyle w:val="BodyText"/>
        <w:ind w:left="1440"/>
        <w:rPr>
          <w:rFonts w:ascii="Open Sans Light" w:eastAsia="Open Sans Light" w:hAnsi="Open Sans Light" w:cs="Open Sans Light"/>
          <w:sz w:val="20"/>
          <w:szCs w:val="20"/>
        </w:rPr>
      </w:pPr>
      <w:r w:rsidRPr="6B02C682">
        <w:rPr>
          <w:rFonts w:ascii="Open Sans Light" w:eastAsia="Open Sans Light" w:hAnsi="Open Sans Light" w:cs="Open Sans Light"/>
          <w:sz w:val="20"/>
          <w:szCs w:val="20"/>
        </w:rPr>
        <w:lastRenderedPageBreak/>
        <w:t>Consideration should be given to:</w:t>
      </w:r>
    </w:p>
    <w:p w14:paraId="0AB06596" w14:textId="77777777" w:rsidR="00310FEA" w:rsidRDefault="00310FEA" w:rsidP="6B02C682">
      <w:pPr>
        <w:pStyle w:val="BodyText"/>
        <w:ind w:left="1440"/>
        <w:rPr>
          <w:rFonts w:ascii="Open Sans Light" w:eastAsia="Open Sans Light" w:hAnsi="Open Sans Light" w:cs="Open Sans Light"/>
          <w:sz w:val="20"/>
          <w:szCs w:val="20"/>
        </w:rPr>
      </w:pPr>
    </w:p>
    <w:p w14:paraId="6CE4D5B4" w14:textId="74D503B0" w:rsidR="00935236" w:rsidRDefault="5D4AF7EB" w:rsidP="6B02C682">
      <w:pPr>
        <w:pStyle w:val="BodyText"/>
        <w:numPr>
          <w:ilvl w:val="0"/>
          <w:numId w:val="6"/>
        </w:numPr>
        <w:rPr>
          <w:rFonts w:ascii="Open Sans Light" w:eastAsia="Open Sans Light" w:hAnsi="Open Sans Light" w:cs="Open Sans Light"/>
          <w:sz w:val="20"/>
          <w:szCs w:val="20"/>
        </w:rPr>
      </w:pPr>
      <w:r w:rsidRPr="6B02C682">
        <w:rPr>
          <w:rFonts w:ascii="Open Sans Light" w:eastAsia="Open Sans Light" w:hAnsi="Open Sans Light" w:cs="Open Sans Light"/>
          <w:sz w:val="20"/>
          <w:szCs w:val="20"/>
        </w:rPr>
        <w:t>S</w:t>
      </w:r>
      <w:r w:rsidR="00514C80">
        <w:rPr>
          <w:rFonts w:ascii="Open Sans Light" w:eastAsia="Open Sans Light" w:hAnsi="Open Sans Light" w:cs="Open Sans Light"/>
          <w:sz w:val="20"/>
          <w:szCs w:val="20"/>
        </w:rPr>
        <w:t>maller and SME led-developments</w:t>
      </w:r>
      <w:r w:rsidRPr="6B02C682">
        <w:rPr>
          <w:rFonts w:ascii="Open Sans Light" w:eastAsia="Open Sans Light" w:hAnsi="Open Sans Light" w:cs="Open Sans Light"/>
          <w:sz w:val="20"/>
          <w:szCs w:val="20"/>
        </w:rPr>
        <w:t>, where upfront CIL liabilities can have a disproportionate impact on viability and delivery speed. SMEs typically do not land bank and are more likely to commence construction shortly after securing consent.</w:t>
      </w:r>
    </w:p>
    <w:p w14:paraId="521EDA44" w14:textId="02FA7FE7" w:rsidR="00935236" w:rsidRDefault="5D4AF7EB" w:rsidP="6B02C682">
      <w:pPr>
        <w:pStyle w:val="BodyText"/>
        <w:numPr>
          <w:ilvl w:val="0"/>
          <w:numId w:val="6"/>
        </w:numPr>
        <w:rPr>
          <w:rFonts w:ascii="Open Sans Light" w:eastAsia="Open Sans Light" w:hAnsi="Open Sans Light" w:cs="Open Sans Light"/>
          <w:sz w:val="20"/>
          <w:szCs w:val="20"/>
        </w:rPr>
      </w:pPr>
      <w:r w:rsidRPr="6B02C682">
        <w:rPr>
          <w:rFonts w:ascii="Open Sans Light" w:eastAsia="Open Sans Light" w:hAnsi="Open Sans Light" w:cs="Open Sans Light"/>
          <w:sz w:val="20"/>
          <w:szCs w:val="20"/>
        </w:rPr>
        <w:t xml:space="preserve">Schemes </w:t>
      </w:r>
      <w:r w:rsidR="00514C80">
        <w:rPr>
          <w:rFonts w:ascii="Open Sans Light" w:eastAsia="Open Sans Light" w:hAnsi="Open Sans Light" w:cs="Open Sans Light"/>
          <w:sz w:val="20"/>
          <w:szCs w:val="20"/>
        </w:rPr>
        <w:t>currently in construction that</w:t>
      </w:r>
      <w:r w:rsidRPr="6B02C682">
        <w:rPr>
          <w:rFonts w:ascii="Open Sans Light" w:eastAsia="Open Sans Light" w:hAnsi="Open Sans Light" w:cs="Open Sans Light"/>
          <w:sz w:val="20"/>
          <w:szCs w:val="20"/>
        </w:rPr>
        <w:t xml:space="preserve"> have stalled due to changes in market conditions, construction costs or financing assumptions. These schemes often represent “quick wins” if viability constraints can be addressed</w:t>
      </w:r>
      <w:r w:rsidR="00514C80">
        <w:rPr>
          <w:rFonts w:ascii="Open Sans Light" w:eastAsia="Open Sans Light" w:hAnsi="Open Sans Light" w:cs="Open Sans Light"/>
          <w:sz w:val="20"/>
          <w:szCs w:val="20"/>
        </w:rPr>
        <w:t>, for example, through Section 106BA.</w:t>
      </w:r>
    </w:p>
    <w:p w14:paraId="2FE5246F" w14:textId="3355415C" w:rsidR="00935236" w:rsidRDefault="5D4AF7EB" w:rsidP="6B02C682">
      <w:pPr>
        <w:pStyle w:val="BodyText"/>
        <w:numPr>
          <w:ilvl w:val="0"/>
          <w:numId w:val="6"/>
        </w:numPr>
        <w:rPr>
          <w:rFonts w:ascii="Open Sans Light" w:eastAsia="Open Sans Light" w:hAnsi="Open Sans Light" w:cs="Open Sans Light"/>
          <w:sz w:val="20"/>
          <w:szCs w:val="20"/>
        </w:rPr>
      </w:pPr>
      <w:r w:rsidRPr="6B02C682">
        <w:rPr>
          <w:rFonts w:ascii="Open Sans Light" w:eastAsia="Open Sans Light" w:hAnsi="Open Sans Light" w:cs="Open Sans Light"/>
          <w:sz w:val="20"/>
          <w:szCs w:val="20"/>
        </w:rPr>
        <w:t xml:space="preserve">Alternative residential typologies, including </w:t>
      </w:r>
      <w:r w:rsidR="00AB2B1A">
        <w:rPr>
          <w:rFonts w:ascii="Open Sans Light" w:eastAsia="Open Sans Light" w:hAnsi="Open Sans Light" w:cs="Open Sans Light"/>
          <w:sz w:val="20"/>
          <w:szCs w:val="20"/>
        </w:rPr>
        <w:t>C</w:t>
      </w:r>
      <w:r w:rsidRPr="6B02C682">
        <w:rPr>
          <w:rFonts w:ascii="Open Sans Light" w:eastAsia="Open Sans Light" w:hAnsi="Open Sans Light" w:cs="Open Sans Light"/>
          <w:sz w:val="20"/>
          <w:szCs w:val="20"/>
        </w:rPr>
        <w:t>o-</w:t>
      </w:r>
      <w:r w:rsidR="00AB2B1A">
        <w:rPr>
          <w:rFonts w:ascii="Open Sans Light" w:eastAsia="Open Sans Light" w:hAnsi="Open Sans Light" w:cs="Open Sans Light"/>
          <w:sz w:val="20"/>
          <w:szCs w:val="20"/>
        </w:rPr>
        <w:t>L</w:t>
      </w:r>
      <w:r w:rsidRPr="6B02C682">
        <w:rPr>
          <w:rFonts w:ascii="Open Sans Light" w:eastAsia="Open Sans Light" w:hAnsi="Open Sans Light" w:cs="Open Sans Light"/>
          <w:sz w:val="20"/>
          <w:szCs w:val="20"/>
        </w:rPr>
        <w:t>iving and PBSA, where delivery has slowed significantly despite continued demand and policy support.</w:t>
      </w:r>
    </w:p>
    <w:p w14:paraId="1E976E72" w14:textId="2CB99553" w:rsidR="00935236" w:rsidRDefault="00935236" w:rsidP="6B02C682">
      <w:pPr>
        <w:ind w:left="1440"/>
        <w:rPr>
          <w:rFonts w:ascii="Open Sans Light" w:eastAsia="Open Sans Light" w:hAnsi="Open Sans Light" w:cs="Open Sans Light"/>
        </w:rPr>
      </w:pPr>
    </w:p>
    <w:p w14:paraId="255A428E" w14:textId="58D2531B" w:rsidR="00935236" w:rsidRDefault="5D4AF7EB" w:rsidP="6B02C682">
      <w:pPr>
        <w:pStyle w:val="BodyText"/>
        <w:ind w:left="1440"/>
        <w:rPr>
          <w:rFonts w:ascii="Open Sans Light" w:eastAsia="Open Sans Light" w:hAnsi="Open Sans Light" w:cs="Open Sans Light"/>
          <w:sz w:val="20"/>
          <w:szCs w:val="20"/>
        </w:rPr>
      </w:pPr>
      <w:r w:rsidRPr="6B02C682">
        <w:rPr>
          <w:rFonts w:ascii="Open Sans Light" w:eastAsia="Open Sans Light" w:hAnsi="Open Sans Light" w:cs="Open Sans Light"/>
          <w:sz w:val="20"/>
          <w:szCs w:val="20"/>
        </w:rPr>
        <w:t>The BPF also notes that the proposals assume the existence of a functioning market for Section 106 affordable housing obligations. In some locations, particularly for social rent, this assumption does not always hold. Greater flexibility to translate affordable housing obligations into equivalent cash contributions, where this would accelerate delivery, should be considered.</w:t>
      </w:r>
    </w:p>
    <w:p w14:paraId="6023CD34" w14:textId="7881C3E6" w:rsidR="00935236" w:rsidRDefault="00935236" w:rsidP="00935236">
      <w:pPr>
        <w:spacing w:line="240" w:lineRule="auto"/>
      </w:pPr>
    </w:p>
    <w:p w14:paraId="58841BC8" w14:textId="77777777" w:rsidR="00935236" w:rsidRDefault="00935236" w:rsidP="00935236">
      <w:pPr>
        <w:spacing w:line="240" w:lineRule="auto"/>
      </w:pPr>
    </w:p>
    <w:p w14:paraId="5F2AA3F7" w14:textId="77777777" w:rsidR="00935236" w:rsidRPr="006214E5" w:rsidRDefault="6752BB2C" w:rsidP="00935236">
      <w:pPr>
        <w:tabs>
          <w:tab w:val="left" w:pos="284"/>
        </w:tabs>
        <w:spacing w:line="240" w:lineRule="auto"/>
        <w:ind w:firstLine="1560"/>
        <w:rPr>
          <w:b/>
          <w:bCs/>
          <w:sz w:val="22"/>
          <w:szCs w:val="22"/>
          <w:u w:val="single"/>
        </w:rPr>
      </w:pPr>
      <w:r w:rsidRPr="006214E5">
        <w:rPr>
          <w:b/>
          <w:bCs/>
          <w:sz w:val="22"/>
          <w:szCs w:val="22"/>
          <w:u w:val="single"/>
        </w:rPr>
        <w:t>Section 4: Process for securing relief</w:t>
      </w:r>
    </w:p>
    <w:p w14:paraId="5DF97764" w14:textId="3AE61A9C" w:rsidR="6B02C682" w:rsidRDefault="6B02C682" w:rsidP="00C72A1C">
      <w:pPr>
        <w:tabs>
          <w:tab w:val="left" w:pos="284"/>
        </w:tabs>
        <w:spacing w:line="240" w:lineRule="auto"/>
        <w:rPr>
          <w:sz w:val="22"/>
          <w:szCs w:val="22"/>
          <w:u w:val="single"/>
        </w:rPr>
      </w:pPr>
    </w:p>
    <w:p w14:paraId="1EDE2FFD" w14:textId="6E46E796" w:rsidR="00C72A1C" w:rsidRPr="00E85F0A" w:rsidRDefault="00C72A1C" w:rsidP="00C72A1C">
      <w:pPr>
        <w:spacing w:line="240" w:lineRule="auto"/>
        <w:ind w:left="1560" w:hanging="1560"/>
        <w:rPr>
          <w:color w:val="198ECA" w:themeColor="accent1"/>
          <w:sz w:val="24"/>
          <w:szCs w:val="24"/>
        </w:rPr>
      </w:pPr>
      <w:r w:rsidRPr="00935236">
        <w:rPr>
          <w:rFonts w:asciiTheme="majorHAnsi" w:hAnsiTheme="majorHAnsi" w:cstheme="majorHAnsi"/>
          <w:color w:val="198ECA" w:themeColor="accent1"/>
        </w:rPr>
        <w:t>QUESTION 1</w:t>
      </w:r>
      <w:r>
        <w:rPr>
          <w:rFonts w:asciiTheme="majorHAnsi" w:hAnsiTheme="majorHAnsi" w:cstheme="majorHAnsi"/>
          <w:color w:val="198ECA" w:themeColor="accent1"/>
        </w:rPr>
        <w:t>3</w:t>
      </w:r>
      <w:r>
        <w:tab/>
      </w:r>
      <w:r w:rsidR="00E85F0A" w:rsidRPr="00E85F0A">
        <w:rPr>
          <w:color w:val="198ECA" w:themeColor="accent1"/>
          <w:sz w:val="24"/>
          <w:szCs w:val="24"/>
        </w:rPr>
        <w:t>The Government welcomes views on the proposed steps before applying for relief as set out in this sub-section. This includes views on how the grant funding mechanism may interact with the proposed CIL relief, and any circumstances where following the order/choreography set out would be difficult.</w:t>
      </w:r>
    </w:p>
    <w:p w14:paraId="687BBCA5" w14:textId="77777777" w:rsidR="00E85F0A" w:rsidRPr="00E85F0A" w:rsidRDefault="00E85F0A" w:rsidP="00AA6B7F">
      <w:pPr>
        <w:tabs>
          <w:tab w:val="left" w:pos="284"/>
        </w:tabs>
        <w:spacing w:line="240" w:lineRule="auto"/>
      </w:pPr>
    </w:p>
    <w:p w14:paraId="50DA7262" w14:textId="52E0F8CA" w:rsidR="00E85F0A" w:rsidRDefault="00E85F0A" w:rsidP="00E73B90">
      <w:pPr>
        <w:tabs>
          <w:tab w:val="left" w:pos="284"/>
        </w:tabs>
        <w:spacing w:line="240" w:lineRule="auto"/>
        <w:ind w:left="1440"/>
      </w:pPr>
      <w:commentRangeStart w:id="0"/>
      <w:r w:rsidRPr="00E85F0A">
        <w:t xml:space="preserve">The BPF </w:t>
      </w:r>
      <w:commentRangeEnd w:id="0"/>
      <w:r w:rsidR="000C1B4D" w:rsidRPr="00E85F0A">
        <w:rPr>
          <w:rStyle w:val="CommentReference"/>
          <w:sz w:val="20"/>
          <w:szCs w:val="20"/>
        </w:rPr>
        <w:commentReference w:id="0"/>
      </w:r>
      <w:r w:rsidRPr="00E85F0A">
        <w:t xml:space="preserve">has significant concerns regarding the proposed </w:t>
      </w:r>
      <w:r w:rsidR="00E73B90">
        <w:t xml:space="preserve">application fee, discussed in </w:t>
      </w:r>
      <w:r w:rsidR="00E73B90">
        <w:t>our response</w:t>
      </w:r>
      <w:r w:rsidR="00E73B90">
        <w:t xml:space="preserve"> to Question 14</w:t>
      </w:r>
      <w:r w:rsidRPr="00E85F0A">
        <w:t xml:space="preserve">. </w:t>
      </w:r>
    </w:p>
    <w:p w14:paraId="2579A9A8" w14:textId="77777777" w:rsidR="00E73B90" w:rsidRPr="00E73B90" w:rsidRDefault="00E73B90" w:rsidP="00E73B90">
      <w:pPr>
        <w:tabs>
          <w:tab w:val="left" w:pos="284"/>
        </w:tabs>
        <w:spacing w:line="240" w:lineRule="auto"/>
        <w:ind w:left="1440"/>
      </w:pPr>
    </w:p>
    <w:p w14:paraId="0AD3FB08" w14:textId="3CBB6039" w:rsidR="0CF897D9" w:rsidRDefault="0CF897D9" w:rsidP="6B02C682">
      <w:pPr>
        <w:pStyle w:val="BodyText"/>
        <w:ind w:left="1440"/>
        <w:rPr>
          <w:rFonts w:ascii="Open Sans Light" w:eastAsia="Open Sans Light" w:hAnsi="Open Sans Light" w:cs="Open Sans Light"/>
          <w:sz w:val="20"/>
          <w:szCs w:val="20"/>
        </w:rPr>
      </w:pPr>
      <w:r w:rsidRPr="6B02C682">
        <w:rPr>
          <w:rFonts w:ascii="Open Sans Light" w:eastAsia="Open Sans Light" w:hAnsi="Open Sans Light" w:cs="Open Sans Light"/>
          <w:sz w:val="20"/>
          <w:szCs w:val="20"/>
        </w:rPr>
        <w:t>The BPF supports the principle of early coordination between developers, the GLA and registered providers, particularly where grant funding is involved. Aligning affordable housing delivery and funding at an early stage can reduce delays and uncertainty.</w:t>
      </w:r>
    </w:p>
    <w:p w14:paraId="78296BBE" w14:textId="7F829298" w:rsidR="6B02C682" w:rsidRDefault="6B02C682" w:rsidP="6B02C682">
      <w:pPr>
        <w:ind w:left="1440"/>
        <w:rPr>
          <w:rFonts w:ascii="Open Sans Light" w:eastAsia="Open Sans Light" w:hAnsi="Open Sans Light" w:cs="Open Sans Light"/>
        </w:rPr>
      </w:pPr>
    </w:p>
    <w:p w14:paraId="7C04BA37" w14:textId="3A92BB50" w:rsidR="0CF897D9" w:rsidRDefault="0CF897D9" w:rsidP="6B02C682">
      <w:pPr>
        <w:pStyle w:val="BodyText"/>
        <w:ind w:left="1440"/>
        <w:rPr>
          <w:rFonts w:ascii="Open Sans Light" w:eastAsia="Open Sans Light" w:hAnsi="Open Sans Light" w:cs="Open Sans Light"/>
          <w:sz w:val="20"/>
          <w:szCs w:val="20"/>
        </w:rPr>
      </w:pPr>
      <w:r w:rsidRPr="6B02C682">
        <w:rPr>
          <w:rFonts w:ascii="Open Sans Light" w:eastAsia="Open Sans Light" w:hAnsi="Open Sans Light" w:cs="Open Sans Light"/>
          <w:sz w:val="20"/>
          <w:szCs w:val="20"/>
        </w:rPr>
        <w:t>However, requiring a signed Section 106 agreement before an application for CIL relief can be made may be problematic in practice. For schemes that are already unviable, finalising a Section 106 agreement often depends on certainty around costs such as CIL. This sequencing risks creating a circular process that delays rather than accelerates delivery.</w:t>
      </w:r>
    </w:p>
    <w:p w14:paraId="2866CFBE" w14:textId="58F52BBA" w:rsidR="6B02C682" w:rsidRDefault="6B02C682" w:rsidP="6B02C682">
      <w:pPr>
        <w:ind w:left="1440"/>
        <w:rPr>
          <w:rFonts w:ascii="Open Sans Light" w:eastAsia="Open Sans Light" w:hAnsi="Open Sans Light" w:cs="Open Sans Light"/>
        </w:rPr>
      </w:pPr>
    </w:p>
    <w:p w14:paraId="3B1A211F" w14:textId="6C578451" w:rsidR="0CF897D9" w:rsidRDefault="0CF897D9" w:rsidP="6B02C682">
      <w:pPr>
        <w:pStyle w:val="BodyText"/>
        <w:ind w:left="1440"/>
        <w:rPr>
          <w:rFonts w:ascii="Open Sans Light" w:eastAsia="Open Sans Light" w:hAnsi="Open Sans Light" w:cs="Open Sans Light"/>
          <w:sz w:val="20"/>
          <w:szCs w:val="20"/>
        </w:rPr>
      </w:pPr>
      <w:r w:rsidRPr="6B02C682">
        <w:rPr>
          <w:rFonts w:ascii="Open Sans Light" w:eastAsia="Open Sans Light" w:hAnsi="Open Sans Light" w:cs="Open Sans Light"/>
          <w:sz w:val="20"/>
          <w:szCs w:val="20"/>
        </w:rPr>
        <w:t>Greater flexibility in the order of steps, particularly for stalled or previously consented schemes, would help ensure that the process supports, rather than hinders, delivery.</w:t>
      </w:r>
    </w:p>
    <w:p w14:paraId="79E0456F" w14:textId="77777777" w:rsidR="00E73B90" w:rsidRDefault="00E73B90" w:rsidP="00E73B90">
      <w:pPr>
        <w:pStyle w:val="BodyText"/>
        <w:rPr>
          <w:rFonts w:ascii="Open Sans Light" w:eastAsia="Open Sans Light" w:hAnsi="Open Sans Light" w:cs="Open Sans Light"/>
          <w:sz w:val="20"/>
          <w:szCs w:val="20"/>
        </w:rPr>
      </w:pPr>
    </w:p>
    <w:p w14:paraId="73B6E20E" w14:textId="47C3DF8C" w:rsidR="00E73B90" w:rsidRPr="00E85F0A" w:rsidRDefault="00E73B90" w:rsidP="00E73B90">
      <w:pPr>
        <w:spacing w:line="240" w:lineRule="auto"/>
        <w:ind w:left="1560" w:hanging="1560"/>
        <w:rPr>
          <w:color w:val="198ECA" w:themeColor="accent1"/>
          <w:sz w:val="24"/>
          <w:szCs w:val="24"/>
        </w:rPr>
      </w:pPr>
      <w:r w:rsidRPr="00935236">
        <w:rPr>
          <w:rFonts w:asciiTheme="majorHAnsi" w:hAnsiTheme="majorHAnsi" w:cstheme="majorHAnsi"/>
          <w:color w:val="198ECA" w:themeColor="accent1"/>
        </w:rPr>
        <w:t>QUESTION 1</w:t>
      </w:r>
      <w:r>
        <w:rPr>
          <w:rFonts w:asciiTheme="majorHAnsi" w:hAnsiTheme="majorHAnsi" w:cstheme="majorHAnsi"/>
          <w:color w:val="198ECA" w:themeColor="accent1"/>
        </w:rPr>
        <w:t>4</w:t>
      </w:r>
      <w:r>
        <w:tab/>
      </w:r>
      <w:r w:rsidRPr="00E73B90">
        <w:rPr>
          <w:color w:val="198ECA" w:themeColor="accent1"/>
          <w:sz w:val="24"/>
          <w:szCs w:val="24"/>
        </w:rPr>
        <w:t>The Government welcomes views on the proposed application fee, the level of fee that is proposed and whether this would create any difficulties.</w:t>
      </w:r>
    </w:p>
    <w:p w14:paraId="76F9BCAC" w14:textId="77777777" w:rsidR="00E73B90" w:rsidRDefault="00E73B90" w:rsidP="00E73B90">
      <w:pPr>
        <w:pStyle w:val="BodyText"/>
        <w:rPr>
          <w:rFonts w:ascii="Open Sans Light" w:eastAsia="Open Sans Light" w:hAnsi="Open Sans Light" w:cs="Open Sans Light"/>
          <w:sz w:val="20"/>
          <w:szCs w:val="20"/>
        </w:rPr>
      </w:pPr>
    </w:p>
    <w:p w14:paraId="769CFED3" w14:textId="77777777" w:rsidR="00E73B90" w:rsidRDefault="00E73B90" w:rsidP="00E73B90">
      <w:pPr>
        <w:spacing w:before="240" w:after="240"/>
        <w:ind w:left="1440"/>
      </w:pPr>
      <w:r w:rsidRPr="4668A682">
        <w:t>The BPF has significant concerns regarding the proposed £25,000 application fee. At this level, the fee is likely to act as a deterrent, particularly for SME developers and for schemes operating on very tight margins.</w:t>
      </w:r>
      <w:r>
        <w:t xml:space="preserve"> </w:t>
      </w:r>
      <w:r w:rsidRPr="4668A682">
        <w:t>Rather than encouraging take-up, the fee risks limiting engagement with the relief and undermining its effectiveness.</w:t>
      </w:r>
    </w:p>
    <w:p w14:paraId="7FE8E1B4" w14:textId="77777777" w:rsidR="00E73B90" w:rsidRDefault="00E73B90" w:rsidP="00E73B90">
      <w:pPr>
        <w:spacing w:before="240" w:after="240"/>
        <w:ind w:left="1440"/>
      </w:pPr>
      <w:r>
        <w:t>We query how the figure for this fee has been reached, as it seems disproportionate to the administrative costs these measures will produce. At £25,000, a single application would be more than enough to fund a staff wage for a full-time employee at National Living wage for a year. Whilst we recognise the fiscal and administration burdens of these measures, the proposed fee is strictly prohibitive to many schemes and will undermine the overall policy aim.</w:t>
      </w:r>
    </w:p>
    <w:p w14:paraId="2427BCBD" w14:textId="77777777" w:rsidR="00E73B90" w:rsidRDefault="00E73B90" w:rsidP="00E73B90">
      <w:pPr>
        <w:spacing w:before="240" w:after="240"/>
        <w:ind w:left="1440"/>
      </w:pPr>
      <w:r w:rsidRPr="4668A682">
        <w:t>In addition to the financial cost, there is a reputational risk associated with applying for relief. Where an application is refused, this may be perceived negatively by funders, investors or delivery partners, further weakening confidence in already marginal schemes and discouraging future applications.</w:t>
      </w:r>
    </w:p>
    <w:p w14:paraId="00A96A28" w14:textId="77777777" w:rsidR="00E73B90" w:rsidRDefault="00E73B90" w:rsidP="00E73B90">
      <w:pPr>
        <w:pStyle w:val="ListParagraph"/>
        <w:numPr>
          <w:ilvl w:val="0"/>
          <w:numId w:val="39"/>
        </w:numPr>
        <w:spacing w:before="240" w:after="240" w:line="280" w:lineRule="atLeast"/>
        <w:ind w:left="2160"/>
        <w:rPr>
          <w:color w:val="58626E" w:themeColor="text2"/>
          <w:sz w:val="20"/>
          <w:szCs w:val="20"/>
        </w:rPr>
      </w:pPr>
      <w:r w:rsidRPr="00E73B90">
        <w:rPr>
          <w:color w:val="58626E" w:themeColor="text2"/>
          <w:sz w:val="20"/>
          <w:szCs w:val="20"/>
        </w:rPr>
        <w:t>The BPF therefore recommends that the Government consider alternative approaches, including</w:t>
      </w:r>
      <w:r>
        <w:rPr>
          <w:color w:val="58626E" w:themeColor="text2"/>
          <w:sz w:val="20"/>
          <w:szCs w:val="20"/>
        </w:rPr>
        <w:t xml:space="preserve"> </w:t>
      </w:r>
      <w:r w:rsidRPr="001C091A">
        <w:rPr>
          <w:color w:val="58626E" w:themeColor="text2"/>
          <w:sz w:val="20"/>
          <w:szCs w:val="20"/>
        </w:rPr>
        <w:t xml:space="preserve">introducing </w:t>
      </w:r>
      <w:r w:rsidRPr="4668A682">
        <w:rPr>
          <w:color w:val="58626E" w:themeColor="text2"/>
          <w:sz w:val="20"/>
          <w:szCs w:val="20"/>
        </w:rPr>
        <w:t>a refundable or partially refundable fee where applications are unsuccessful; or</w:t>
      </w:r>
    </w:p>
    <w:p w14:paraId="4B864EC9" w14:textId="03B03ABE" w:rsidR="00A8614E" w:rsidRPr="00E73B90" w:rsidRDefault="00E73B90" w:rsidP="00E73B90">
      <w:pPr>
        <w:pStyle w:val="ListParagraph"/>
        <w:numPr>
          <w:ilvl w:val="0"/>
          <w:numId w:val="39"/>
        </w:numPr>
        <w:spacing w:before="240" w:after="240" w:line="280" w:lineRule="atLeast"/>
        <w:ind w:left="2160"/>
        <w:rPr>
          <w:color w:val="58626E" w:themeColor="text2"/>
          <w:sz w:val="16"/>
          <w:szCs w:val="16"/>
        </w:rPr>
      </w:pPr>
      <w:r w:rsidRPr="00E73B90">
        <w:rPr>
          <w:color w:val="58626E" w:themeColor="text2"/>
          <w:sz w:val="20"/>
          <w:szCs w:val="20"/>
        </w:rPr>
        <w:t>scaling the fee according to scheme size or developer type, to ensure proportionality and accessibility, and have a cap lower than to proposed application fee</w:t>
      </w:r>
      <w:r>
        <w:rPr>
          <w:color w:val="58626E" w:themeColor="text2"/>
          <w:sz w:val="20"/>
          <w:szCs w:val="20"/>
        </w:rPr>
        <w:t>.</w:t>
      </w:r>
    </w:p>
    <w:p w14:paraId="51539035" w14:textId="6966C4FE" w:rsidR="6B02C682" w:rsidRDefault="6B02C682" w:rsidP="6B02C682">
      <w:pPr>
        <w:spacing w:line="240" w:lineRule="auto"/>
        <w:ind w:left="1560" w:hanging="1560"/>
        <w:rPr>
          <w:color w:val="198DC9"/>
          <w:sz w:val="24"/>
          <w:szCs w:val="24"/>
        </w:rPr>
      </w:pPr>
    </w:p>
    <w:p w14:paraId="2D9D8056" w14:textId="435E4A85" w:rsidR="00AA6B7F" w:rsidRDefault="00AA6B7F" w:rsidP="00AA6B7F">
      <w:pPr>
        <w:spacing w:line="240" w:lineRule="auto"/>
        <w:ind w:left="1560" w:hanging="1560"/>
      </w:pPr>
      <w:r w:rsidRPr="6B02C682">
        <w:rPr>
          <w:rFonts w:asciiTheme="majorHAnsi" w:hAnsiTheme="majorHAnsi" w:cstheme="majorBidi"/>
          <w:color w:val="198ECA" w:themeColor="accent1"/>
        </w:rPr>
        <w:lastRenderedPageBreak/>
        <w:t>QUESTION 1</w:t>
      </w:r>
      <w:r>
        <w:rPr>
          <w:rFonts w:asciiTheme="majorHAnsi" w:hAnsiTheme="majorHAnsi" w:cstheme="majorBidi"/>
          <w:color w:val="198ECA" w:themeColor="accent1"/>
        </w:rPr>
        <w:t>5</w:t>
      </w:r>
      <w:r>
        <w:tab/>
      </w:r>
      <w:r>
        <w:rPr>
          <w:color w:val="198ECA" w:themeColor="accent1"/>
          <w:sz w:val="24"/>
          <w:szCs w:val="24"/>
        </w:rPr>
        <w:t xml:space="preserve">The Government welcomes </w:t>
      </w:r>
      <w:r w:rsidRPr="00AA6B7F">
        <w:rPr>
          <w:color w:val="198ECA" w:themeColor="accent1"/>
          <w:sz w:val="24"/>
          <w:szCs w:val="24"/>
        </w:rPr>
        <w:t>views and evidence on whether 50 per cent relief for qualifying schemes delivering 20 per cent affordable housing is appropriate, or whether an alternative approach should be considered.</w:t>
      </w:r>
    </w:p>
    <w:p w14:paraId="25CA06D4" w14:textId="77777777" w:rsidR="00935236" w:rsidRDefault="00935236" w:rsidP="00935236">
      <w:pPr>
        <w:spacing w:line="240" w:lineRule="auto"/>
      </w:pPr>
    </w:p>
    <w:p w14:paraId="59BF91CE" w14:textId="7FF1C18F" w:rsidR="00AA6B7F" w:rsidRDefault="00AA6B7F" w:rsidP="00AA6B7F">
      <w:pPr>
        <w:spacing w:before="240" w:after="240"/>
        <w:ind w:left="1440"/>
        <w:rPr>
          <w:rFonts w:ascii="Open Sans Light" w:eastAsia="Open Sans Light" w:hAnsi="Open Sans Light" w:cs="Open Sans Light"/>
        </w:rPr>
      </w:pPr>
      <w:r w:rsidRPr="6B02C682">
        <w:rPr>
          <w:rFonts w:ascii="Open Sans Light" w:eastAsia="Open Sans Light" w:hAnsi="Open Sans Light" w:cs="Open Sans Light"/>
        </w:rPr>
        <w:t xml:space="preserve">The BPF does not consider that 50 per cent relief will be sufficient to unlock a meaningful number of stalled or marginal schemes, as discussed in our response to </w:t>
      </w:r>
      <w:r w:rsidR="001C091A">
        <w:rPr>
          <w:rFonts w:ascii="Open Sans Light" w:eastAsia="Open Sans Light" w:hAnsi="Open Sans Light" w:cs="Open Sans Light"/>
        </w:rPr>
        <w:t>Q</w:t>
      </w:r>
      <w:r w:rsidRPr="6B02C682">
        <w:rPr>
          <w:rFonts w:ascii="Open Sans Light" w:eastAsia="Open Sans Light" w:hAnsi="Open Sans Light" w:cs="Open Sans Light"/>
        </w:rPr>
        <w:t>uestion 10.</w:t>
      </w:r>
    </w:p>
    <w:p w14:paraId="25496261" w14:textId="0282E409" w:rsidR="00AA6B7F" w:rsidRDefault="00AA6B7F" w:rsidP="00AA6B7F">
      <w:pPr>
        <w:spacing w:before="240" w:after="240"/>
        <w:ind w:left="1440"/>
        <w:rPr>
          <w:rFonts w:ascii="Open Sans Light" w:eastAsia="Open Sans Light" w:hAnsi="Open Sans Light" w:cs="Open Sans Light"/>
        </w:rPr>
      </w:pPr>
      <w:r w:rsidRPr="6B02C682">
        <w:rPr>
          <w:rFonts w:ascii="Open Sans Light" w:eastAsia="Open Sans Light" w:hAnsi="Open Sans Light" w:cs="Open Sans Light"/>
        </w:rPr>
        <w:t>Member modelling suggests that many schemes remain fundamentally unviable even with this level of relief, particularly once other cost pressures, such as construction inflation, financing costs, building safety requirements and</w:t>
      </w:r>
      <w:r w:rsidR="00A8614E">
        <w:rPr>
          <w:rFonts w:ascii="Open Sans Light" w:eastAsia="Open Sans Light" w:hAnsi="Open Sans Light" w:cs="Open Sans Light"/>
        </w:rPr>
        <w:t xml:space="preserve"> tax and</w:t>
      </w:r>
      <w:r w:rsidRPr="6B02C682">
        <w:rPr>
          <w:rFonts w:ascii="Open Sans Light" w:eastAsia="Open Sans Light" w:hAnsi="Open Sans Light" w:cs="Open Sans Light"/>
        </w:rPr>
        <w:t xml:space="preserve"> regulatory compliance, are considered.</w:t>
      </w:r>
    </w:p>
    <w:p w14:paraId="0B4FF537" w14:textId="0357C1DE" w:rsidR="00AA6B7F" w:rsidRDefault="00AA6B7F" w:rsidP="00342DAF">
      <w:pPr>
        <w:spacing w:before="240" w:after="240"/>
        <w:ind w:left="1440"/>
        <w:rPr>
          <w:rFonts w:ascii="Open Sans Light" w:eastAsia="Open Sans Light" w:hAnsi="Open Sans Light" w:cs="Open Sans Light"/>
        </w:rPr>
      </w:pPr>
      <w:r w:rsidRPr="6B02C682">
        <w:rPr>
          <w:rFonts w:ascii="Open Sans Light" w:eastAsia="Open Sans Light" w:hAnsi="Open Sans Light" w:cs="Open Sans Light"/>
        </w:rPr>
        <w:t>The BPF therefore encourages Government to consider either higher levels of relief or complementary measures</w:t>
      </w:r>
      <w:r w:rsidR="00342DAF">
        <w:rPr>
          <w:rFonts w:ascii="Open Sans Light" w:eastAsia="Open Sans Light" w:hAnsi="Open Sans Light" w:cs="Open Sans Light"/>
        </w:rPr>
        <w:t xml:space="preserve">, </w:t>
      </w:r>
      <w:r w:rsidR="00342DAF" w:rsidRPr="00342DAF">
        <w:rPr>
          <w:rFonts w:ascii="Open Sans Light" w:eastAsia="Open Sans Light" w:hAnsi="Open Sans Light" w:cs="Open Sans Light"/>
        </w:rPr>
        <w:t xml:space="preserve">such as reduced </w:t>
      </w:r>
      <w:r w:rsidR="000B4B5C">
        <w:rPr>
          <w:rFonts w:ascii="Open Sans Light" w:eastAsia="Open Sans Light" w:hAnsi="Open Sans Light" w:cs="Open Sans Light"/>
        </w:rPr>
        <w:t>s</w:t>
      </w:r>
      <w:r w:rsidR="00342DAF" w:rsidRPr="00342DAF">
        <w:rPr>
          <w:rFonts w:ascii="Open Sans Light" w:eastAsia="Open Sans Light" w:hAnsi="Open Sans Light" w:cs="Open Sans Light"/>
        </w:rPr>
        <w:t>106 financial obligations, relaxations on unit mix to optimise value</w:t>
      </w:r>
      <w:r w:rsidR="00342DAF">
        <w:rPr>
          <w:rFonts w:ascii="Open Sans Light" w:eastAsia="Open Sans Light" w:hAnsi="Open Sans Light" w:cs="Open Sans Light"/>
        </w:rPr>
        <w:t xml:space="preserve"> or </w:t>
      </w:r>
      <w:r w:rsidR="00342DAF" w:rsidRPr="00342DAF">
        <w:rPr>
          <w:rFonts w:ascii="Open Sans Light" w:eastAsia="Open Sans Light" w:hAnsi="Open Sans Light" w:cs="Open Sans Light"/>
        </w:rPr>
        <w:t>design relaxations such as cycle pa</w:t>
      </w:r>
      <w:r w:rsidR="00342DAF">
        <w:rPr>
          <w:rFonts w:ascii="Open Sans Light" w:eastAsia="Open Sans Light" w:hAnsi="Open Sans Light" w:cs="Open Sans Light"/>
        </w:rPr>
        <w:t>rking</w:t>
      </w:r>
      <w:r w:rsidRPr="6B02C682">
        <w:rPr>
          <w:rFonts w:ascii="Open Sans Light" w:eastAsia="Open Sans Light" w:hAnsi="Open Sans Light" w:cs="Open Sans Light"/>
        </w:rPr>
        <w:t xml:space="preserve"> to ensure the policy delivers more homes.</w:t>
      </w:r>
    </w:p>
    <w:p w14:paraId="011E8E99" w14:textId="2A8D4852" w:rsidR="00AA6B7F" w:rsidRDefault="00AA6B7F" w:rsidP="00AA6B7F">
      <w:pPr>
        <w:spacing w:line="240" w:lineRule="auto"/>
        <w:ind w:left="1560" w:hanging="1560"/>
      </w:pPr>
      <w:r w:rsidRPr="6B02C682">
        <w:rPr>
          <w:rFonts w:asciiTheme="majorHAnsi" w:hAnsiTheme="majorHAnsi" w:cstheme="majorBidi"/>
          <w:color w:val="198ECA" w:themeColor="accent1"/>
        </w:rPr>
        <w:t>QUESTION 1</w:t>
      </w:r>
      <w:r>
        <w:rPr>
          <w:rFonts w:asciiTheme="majorHAnsi" w:hAnsiTheme="majorHAnsi" w:cstheme="majorBidi"/>
          <w:color w:val="198ECA" w:themeColor="accent1"/>
        </w:rPr>
        <w:t>6</w:t>
      </w:r>
      <w:r>
        <w:tab/>
      </w:r>
      <w:r w:rsidRPr="00AA6B7F">
        <w:rPr>
          <w:color w:val="198ECA" w:themeColor="accent1"/>
          <w:sz w:val="24"/>
          <w:szCs w:val="24"/>
        </w:rPr>
        <w:t>The Government welcomes views on whether this approach strikes an appropriate balance and provides a clear incentive for additional affordable housing to come forward.</w:t>
      </w:r>
    </w:p>
    <w:p w14:paraId="0C513A82" w14:textId="77777777" w:rsidR="00AA6B7F" w:rsidRDefault="00AA6B7F" w:rsidP="00AA6B7F">
      <w:pPr>
        <w:spacing w:line="240" w:lineRule="auto"/>
      </w:pPr>
    </w:p>
    <w:p w14:paraId="3C2310FE" w14:textId="77777777" w:rsidR="00AA6B7F" w:rsidRDefault="00AA6B7F" w:rsidP="00AA6B7F">
      <w:pPr>
        <w:ind w:left="1440"/>
        <w:rPr>
          <w:rFonts w:ascii="Open Sans Light" w:eastAsia="Open Sans Light" w:hAnsi="Open Sans Light" w:cs="Open Sans Light"/>
        </w:rPr>
      </w:pPr>
      <w:r w:rsidRPr="6B02C682">
        <w:rPr>
          <w:rFonts w:ascii="Open Sans Light" w:eastAsia="Open Sans Light" w:hAnsi="Open Sans Light" w:cs="Open Sans Light"/>
        </w:rPr>
        <w:t>The BPF does not believe the proposed linear increase—where each additional percentage point of affordable housing delivers two percentage points of CIL relief—provides a strong enough incentive to materially change developer behaviour.</w:t>
      </w:r>
    </w:p>
    <w:p w14:paraId="284FB039" w14:textId="77777777" w:rsidR="00AA6B7F" w:rsidRDefault="00AA6B7F" w:rsidP="00AA6B7F">
      <w:pPr>
        <w:spacing w:before="240" w:after="240"/>
        <w:ind w:left="1440"/>
        <w:rPr>
          <w:rFonts w:ascii="Open Sans Light" w:eastAsia="Open Sans Light" w:hAnsi="Open Sans Light" w:cs="Open Sans Light"/>
        </w:rPr>
      </w:pPr>
      <w:r w:rsidRPr="6B02C682">
        <w:rPr>
          <w:rFonts w:ascii="Open Sans Light" w:eastAsia="Open Sans Light" w:hAnsi="Open Sans Light" w:cs="Open Sans Light"/>
        </w:rPr>
        <w:t>In many cases, schemes are not failing to deliver higher levels of affordable housing due to marginal incentives, but because they are structurally unviable. As a result, the proposed mechanism risks applying only to a narrow group of schemes, rather than addressing the broader viability challenge.</w:t>
      </w:r>
    </w:p>
    <w:p w14:paraId="14284D48" w14:textId="72434E1D" w:rsidR="00AA6B7F" w:rsidRDefault="00AA6B7F" w:rsidP="00AA6B7F">
      <w:pPr>
        <w:spacing w:before="240" w:after="240"/>
        <w:ind w:left="1440"/>
        <w:rPr>
          <w:rFonts w:ascii="Open Sans Light" w:eastAsia="Open Sans Light" w:hAnsi="Open Sans Light" w:cs="Open Sans Light"/>
        </w:rPr>
      </w:pPr>
      <w:r w:rsidRPr="6B02C682">
        <w:rPr>
          <w:rFonts w:ascii="Open Sans Light" w:eastAsia="Open Sans Light" w:hAnsi="Open Sans Light" w:cs="Open Sans Light"/>
        </w:rPr>
        <w:t xml:space="preserve">A more meaningful incentive structure would better reflect the scale of the viability gap faced by many developments. Our response to </w:t>
      </w:r>
      <w:r w:rsidR="000B4B5C">
        <w:rPr>
          <w:rFonts w:ascii="Open Sans Light" w:eastAsia="Open Sans Light" w:hAnsi="Open Sans Light" w:cs="Open Sans Light"/>
        </w:rPr>
        <w:t>Q</w:t>
      </w:r>
      <w:r w:rsidRPr="6B02C682">
        <w:rPr>
          <w:rFonts w:ascii="Open Sans Light" w:eastAsia="Open Sans Light" w:hAnsi="Open Sans Light" w:cs="Open Sans Light"/>
        </w:rPr>
        <w:t>uestion 17 will elaborate on this point.</w:t>
      </w:r>
    </w:p>
    <w:p w14:paraId="05EA4EA8" w14:textId="6FF725DF" w:rsidR="00E73B90" w:rsidRDefault="00E73B90" w:rsidP="00E73B90">
      <w:pPr>
        <w:pStyle w:val="Introductiontext"/>
      </w:pPr>
      <w:r>
        <w:t>.</w:t>
      </w:r>
    </w:p>
    <w:p w14:paraId="6E278872" w14:textId="08D84798" w:rsidR="00E73B90" w:rsidRDefault="00E73B90" w:rsidP="00E73B90">
      <w:pPr>
        <w:spacing w:line="240" w:lineRule="auto"/>
        <w:ind w:left="1560" w:hanging="1560"/>
      </w:pPr>
    </w:p>
    <w:p w14:paraId="100940A7" w14:textId="77777777" w:rsidR="00E73B90" w:rsidRPr="00E73B90" w:rsidRDefault="00E73B90" w:rsidP="00E73B90">
      <w:pPr>
        <w:spacing w:line="240" w:lineRule="auto"/>
        <w:ind w:left="1560" w:hanging="1560"/>
        <w:rPr>
          <w:color w:val="198ECA" w:themeColor="accent1"/>
          <w:sz w:val="24"/>
          <w:szCs w:val="24"/>
        </w:rPr>
      </w:pPr>
      <w:r w:rsidRPr="6B02C682">
        <w:rPr>
          <w:rFonts w:asciiTheme="majorHAnsi" w:hAnsiTheme="majorHAnsi" w:cstheme="majorBidi"/>
          <w:color w:val="198ECA" w:themeColor="accent1"/>
        </w:rPr>
        <w:t>QUESTION 1</w:t>
      </w:r>
      <w:r>
        <w:rPr>
          <w:rFonts w:asciiTheme="majorHAnsi" w:hAnsiTheme="majorHAnsi" w:cstheme="majorBidi"/>
          <w:color w:val="198ECA" w:themeColor="accent1"/>
        </w:rPr>
        <w:t>7</w:t>
      </w:r>
      <w:r>
        <w:tab/>
      </w:r>
      <w:r w:rsidRPr="00AA6B7F">
        <w:rPr>
          <w:color w:val="198ECA" w:themeColor="accent1"/>
          <w:sz w:val="24"/>
          <w:szCs w:val="24"/>
        </w:rPr>
        <w:t xml:space="preserve">The </w:t>
      </w:r>
      <w:r w:rsidRPr="00E73B90">
        <w:rPr>
          <w:color w:val="198ECA" w:themeColor="accent1"/>
          <w:sz w:val="24"/>
          <w:szCs w:val="24"/>
        </w:rPr>
        <w:t>Government welcomes views on the optimal levels of relief to</w:t>
      </w:r>
    </w:p>
    <w:p w14:paraId="6624C402" w14:textId="6AF4C6C5" w:rsidR="00E73B90" w:rsidRDefault="00E73B90" w:rsidP="00E73B90">
      <w:pPr>
        <w:spacing w:line="240" w:lineRule="auto"/>
        <w:ind w:left="1560" w:hanging="1560"/>
      </w:pPr>
      <w:r>
        <w:rPr>
          <w:color w:val="198ECA" w:themeColor="accent1"/>
          <w:sz w:val="24"/>
          <w:szCs w:val="24"/>
        </w:rPr>
        <w:t xml:space="preserve">     </w:t>
      </w:r>
      <w:r>
        <w:rPr>
          <w:color w:val="198ECA" w:themeColor="accent1"/>
          <w:sz w:val="24"/>
          <w:szCs w:val="24"/>
        </w:rPr>
        <w:tab/>
      </w:r>
      <w:r w:rsidRPr="00E73B90">
        <w:rPr>
          <w:color w:val="198ECA" w:themeColor="accent1"/>
          <w:sz w:val="24"/>
          <w:szCs w:val="24"/>
        </w:rPr>
        <w:t>ensure development can proceed, while maximising CIL receipts and</w:t>
      </w:r>
      <w:r>
        <w:rPr>
          <w:color w:val="198ECA" w:themeColor="accent1"/>
          <w:sz w:val="24"/>
          <w:szCs w:val="24"/>
        </w:rPr>
        <w:t xml:space="preserve"> </w:t>
      </w:r>
      <w:r w:rsidRPr="00E73B90">
        <w:rPr>
          <w:color w:val="198ECA" w:themeColor="accent1"/>
          <w:sz w:val="24"/>
          <w:szCs w:val="24"/>
        </w:rPr>
        <w:t>affordable housing delivery.</w:t>
      </w:r>
    </w:p>
    <w:p w14:paraId="23F7B740" w14:textId="77777777" w:rsidR="00E73B90" w:rsidRDefault="00E73B90" w:rsidP="00E73B90">
      <w:pPr>
        <w:spacing w:before="240" w:after="240"/>
        <w:ind w:left="1440"/>
        <w:rPr>
          <w:rFonts w:ascii="Open Sans Light" w:eastAsia="Open Sans Light" w:hAnsi="Open Sans Light" w:cs="Open Sans Light"/>
        </w:rPr>
      </w:pPr>
      <w:r>
        <w:t xml:space="preserve"> </w:t>
      </w:r>
      <w:r w:rsidRPr="6B02C682">
        <w:rPr>
          <w:rFonts w:ascii="Open Sans Light" w:eastAsia="Open Sans Light" w:hAnsi="Open Sans Light" w:cs="Open Sans Light"/>
        </w:rPr>
        <w:t>To maximise impact, the BPF encourages Government to consider:</w:t>
      </w:r>
    </w:p>
    <w:p w14:paraId="713DEA23" w14:textId="77777777" w:rsidR="00E73B90" w:rsidRDefault="00E73B90" w:rsidP="00E73B90">
      <w:pPr>
        <w:pStyle w:val="ListParagraph"/>
        <w:numPr>
          <w:ilvl w:val="0"/>
          <w:numId w:val="4"/>
        </w:numPr>
        <w:spacing w:before="240" w:after="240" w:line="280" w:lineRule="atLeast"/>
        <w:ind w:left="2160"/>
        <w:rPr>
          <w:rFonts w:ascii="Open Sans Light" w:eastAsia="Open Sans Light" w:hAnsi="Open Sans Light" w:cs="Open Sans Light"/>
          <w:color w:val="58626E" w:themeColor="text2"/>
          <w:sz w:val="20"/>
          <w:szCs w:val="20"/>
        </w:rPr>
      </w:pPr>
      <w:r>
        <w:rPr>
          <w:rFonts w:ascii="Open Sans Light" w:eastAsia="Open Sans Light" w:hAnsi="Open Sans Light" w:cs="Open Sans Light"/>
          <w:color w:val="58626E" w:themeColor="text2"/>
          <w:sz w:val="20"/>
          <w:szCs w:val="20"/>
        </w:rPr>
        <w:t xml:space="preserve">Lowering the CIL threshold for smaller and </w:t>
      </w:r>
      <w:r w:rsidRPr="6B02C682">
        <w:rPr>
          <w:rFonts w:ascii="Open Sans Light" w:eastAsia="Open Sans Light" w:hAnsi="Open Sans Light" w:cs="Open Sans Light"/>
          <w:color w:val="58626E" w:themeColor="text2"/>
          <w:sz w:val="20"/>
          <w:szCs w:val="20"/>
        </w:rPr>
        <w:t>SME-led developments, reflecting their role in delivering homes quickly and efficiently;</w:t>
      </w:r>
    </w:p>
    <w:p w14:paraId="6F4C4363" w14:textId="77777777" w:rsidR="00E73B90" w:rsidRDefault="00E73B90" w:rsidP="00E73B90">
      <w:pPr>
        <w:pStyle w:val="ListParagraph"/>
        <w:numPr>
          <w:ilvl w:val="0"/>
          <w:numId w:val="4"/>
        </w:numPr>
        <w:spacing w:before="240" w:after="240" w:line="280" w:lineRule="atLeast"/>
        <w:ind w:left="2160"/>
        <w:rPr>
          <w:rFonts w:ascii="Open Sans Light" w:eastAsia="Open Sans Light" w:hAnsi="Open Sans Light" w:cs="Open Sans Light"/>
          <w:color w:val="58626E" w:themeColor="text2"/>
          <w:sz w:val="20"/>
          <w:szCs w:val="20"/>
        </w:rPr>
      </w:pPr>
      <w:r w:rsidRPr="6B02C682">
        <w:rPr>
          <w:rFonts w:ascii="Open Sans Light" w:eastAsia="Open Sans Light" w:hAnsi="Open Sans Light" w:cs="Open Sans Light"/>
          <w:color w:val="58626E" w:themeColor="text2"/>
          <w:sz w:val="20"/>
          <w:szCs w:val="20"/>
        </w:rPr>
        <w:t>Higher levels of relief for schemes in lower-value locations</w:t>
      </w:r>
      <w:r>
        <w:rPr>
          <w:rFonts w:ascii="Open Sans Light" w:eastAsia="Open Sans Light" w:hAnsi="Open Sans Light" w:cs="Open Sans Light"/>
          <w:color w:val="58626E" w:themeColor="text2"/>
          <w:sz w:val="20"/>
          <w:szCs w:val="20"/>
        </w:rPr>
        <w:t xml:space="preserve"> and boroughs with higher CIL rates</w:t>
      </w:r>
      <w:r w:rsidRPr="6B02C682">
        <w:rPr>
          <w:rFonts w:ascii="Open Sans Light" w:eastAsia="Open Sans Light" w:hAnsi="Open Sans Light" w:cs="Open Sans Light"/>
          <w:color w:val="58626E" w:themeColor="text2"/>
          <w:sz w:val="20"/>
          <w:szCs w:val="20"/>
        </w:rPr>
        <w:t>, where CIL often represents a more significant proportion of total development costs;</w:t>
      </w:r>
    </w:p>
    <w:p w14:paraId="5BC224C6" w14:textId="77777777" w:rsidR="00E73B90" w:rsidRDefault="00E73B90" w:rsidP="00E73B90">
      <w:pPr>
        <w:pStyle w:val="ListParagraph"/>
        <w:numPr>
          <w:ilvl w:val="0"/>
          <w:numId w:val="4"/>
        </w:numPr>
        <w:ind w:left="2160"/>
        <w:rPr>
          <w:rFonts w:ascii="Open Sans Light" w:eastAsia="Open Sans Light" w:hAnsi="Open Sans Light" w:cs="Open Sans Light"/>
          <w:color w:val="58626E" w:themeColor="text2"/>
          <w:sz w:val="20"/>
          <w:szCs w:val="20"/>
        </w:rPr>
      </w:pPr>
      <w:r w:rsidRPr="6B02C682">
        <w:rPr>
          <w:rFonts w:ascii="Open Sans Light" w:eastAsia="Open Sans Light" w:hAnsi="Open Sans Light" w:cs="Open Sans Light"/>
          <w:color w:val="58626E" w:themeColor="text2"/>
          <w:sz w:val="20"/>
          <w:szCs w:val="20"/>
        </w:rPr>
        <w:t>A more flexible approach that allows relief to respond to market downturns, rather than assuming improving conditions over time;</w:t>
      </w:r>
    </w:p>
    <w:p w14:paraId="4209AADA" w14:textId="77777777" w:rsidR="00E73B90" w:rsidRDefault="00E73B90" w:rsidP="00E73B90">
      <w:pPr>
        <w:pStyle w:val="ListParagraph"/>
        <w:numPr>
          <w:ilvl w:val="0"/>
          <w:numId w:val="4"/>
        </w:numPr>
        <w:ind w:left="2160"/>
        <w:rPr>
          <w:rFonts w:ascii="Open Sans Light" w:eastAsia="Open Sans Light" w:hAnsi="Open Sans Light" w:cs="Open Sans Light"/>
          <w:color w:val="58626E" w:themeColor="text2"/>
          <w:sz w:val="20"/>
          <w:szCs w:val="20"/>
        </w:rPr>
      </w:pPr>
      <w:r w:rsidRPr="6B02C682">
        <w:rPr>
          <w:rFonts w:ascii="Open Sans Light" w:eastAsia="Open Sans Light" w:hAnsi="Open Sans Light" w:cs="Open Sans Light"/>
          <w:color w:val="58626E" w:themeColor="text2"/>
          <w:sz w:val="20"/>
          <w:szCs w:val="20"/>
        </w:rPr>
        <w:t>Reintroducing Section 106 BA, which maximises a schemes CIL contributions and affordable housing delivery but also ensures it is viable.</w:t>
      </w:r>
    </w:p>
    <w:p w14:paraId="0E2AB499" w14:textId="1A8BCCFC" w:rsidR="00E73B90" w:rsidRDefault="00E73B90" w:rsidP="00E73B90">
      <w:pPr>
        <w:spacing w:line="240" w:lineRule="auto"/>
        <w:ind w:left="1440"/>
      </w:pPr>
      <w:r>
        <w:rPr>
          <w:rFonts w:ascii="Open Sans Light" w:eastAsia="Open Sans Light" w:hAnsi="Open Sans Light" w:cs="Open Sans Light"/>
        </w:rPr>
        <w:t>A</w:t>
      </w:r>
      <w:r w:rsidRPr="6B02C682">
        <w:rPr>
          <w:rFonts w:ascii="Open Sans Light" w:eastAsia="Open Sans Light" w:hAnsi="Open Sans Light" w:cs="Open Sans Light"/>
        </w:rPr>
        <w:t>dopting these suggestions would ensure the package supports a wider range of housing providers and sites, transforming the relief from a marginal incentive into a high-impact tool capable of unlocking the volume of delivery London urgently requires</w:t>
      </w:r>
      <w:r>
        <w:rPr>
          <w:rFonts w:ascii="Open Sans Light" w:eastAsia="Open Sans Light" w:hAnsi="Open Sans Light" w:cs="Open Sans Light"/>
        </w:rPr>
        <w:t>.</w:t>
      </w:r>
    </w:p>
    <w:tbl>
      <w:tblPr>
        <w:tblStyle w:val="TableGrid"/>
        <w:tblW w:w="95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15"/>
        <w:gridCol w:w="8071"/>
      </w:tblGrid>
      <w:tr w:rsidR="00935236" w14:paraId="250BF9D5" w14:textId="77777777" w:rsidTr="6B02C682">
        <w:trPr>
          <w:trHeight w:val="300"/>
        </w:trPr>
        <w:tc>
          <w:tcPr>
            <w:tcW w:w="1515" w:type="dxa"/>
          </w:tcPr>
          <w:p w14:paraId="0554ED84" w14:textId="447C7B0D" w:rsidR="00935236" w:rsidRDefault="00935236" w:rsidP="00AA6B7F">
            <w:pPr>
              <w:pStyle w:val="Heading5"/>
            </w:pPr>
            <w:r>
              <w:t>QUESTION 18</w:t>
            </w:r>
          </w:p>
        </w:tc>
        <w:tc>
          <w:tcPr>
            <w:tcW w:w="8071" w:type="dxa"/>
          </w:tcPr>
          <w:p w14:paraId="76897E55" w14:textId="77777777" w:rsidR="00935236" w:rsidRDefault="00935236" w:rsidP="00AA6B7F">
            <w:pPr>
              <w:pStyle w:val="Introductiontext"/>
            </w:pPr>
            <w:r>
              <w:t>The Government welcomes views as to whether boroughs should have any discretion in relation to the relief and if so in what circumstances, and how this may work such that robust incentives for additional affordable housing remain.</w:t>
            </w:r>
          </w:p>
          <w:p w14:paraId="2E5CED5A" w14:textId="573D5B51" w:rsidR="00935236" w:rsidRDefault="7B8D3129" w:rsidP="6B02C682">
            <w:pPr>
              <w:spacing w:before="240" w:after="240"/>
              <w:rPr>
                <w:rFonts w:ascii="Open Sans Light" w:eastAsia="Open Sans Light" w:hAnsi="Open Sans Light" w:cs="Open Sans Light"/>
              </w:rPr>
            </w:pPr>
            <w:r w:rsidRPr="6B02C682">
              <w:rPr>
                <w:rFonts w:ascii="Open Sans Light" w:eastAsia="Open Sans Light" w:hAnsi="Open Sans Light" w:cs="Open Sans Light"/>
              </w:rPr>
              <w:t>The BPF does not support borough-level discretion in the application of the relief and encourages the Government to make these measures mandatory.</w:t>
            </w:r>
          </w:p>
          <w:p w14:paraId="2086CD3B" w14:textId="1E7A2988" w:rsidR="00935236" w:rsidRDefault="7B8D3129" w:rsidP="6B02C682">
            <w:pPr>
              <w:spacing w:before="240" w:after="240"/>
              <w:rPr>
                <w:rFonts w:ascii="Open Sans Light" w:eastAsia="Open Sans Light" w:hAnsi="Open Sans Light" w:cs="Open Sans Light"/>
              </w:rPr>
            </w:pPr>
            <w:r w:rsidRPr="6B02C682">
              <w:rPr>
                <w:rFonts w:ascii="Open Sans Light" w:eastAsia="Open Sans Light" w:hAnsi="Open Sans Light" w:cs="Open Sans Light"/>
              </w:rPr>
              <w:t>Allowing discretion risks inconsistent decision-making, delays and uncertainty, all of which undermine developer and funder confidence. A mandatory, rules-based approach would:</w:t>
            </w:r>
          </w:p>
          <w:p w14:paraId="4721E2E3" w14:textId="188B3D59" w:rsidR="00935236" w:rsidRDefault="7B8D3129" w:rsidP="6B02C682">
            <w:pPr>
              <w:pStyle w:val="ListParagraph"/>
              <w:numPr>
                <w:ilvl w:val="0"/>
                <w:numId w:val="3"/>
              </w:numPr>
              <w:spacing w:before="240" w:after="240" w:line="280" w:lineRule="atLeast"/>
              <w:rPr>
                <w:rFonts w:ascii="Open Sans Light" w:eastAsia="Open Sans Light" w:hAnsi="Open Sans Light" w:cs="Open Sans Light"/>
                <w:color w:val="58626E" w:themeColor="text2"/>
                <w:sz w:val="20"/>
                <w:szCs w:val="20"/>
              </w:rPr>
            </w:pPr>
            <w:r w:rsidRPr="6B02C682">
              <w:rPr>
                <w:rFonts w:ascii="Open Sans Light" w:eastAsia="Open Sans Light" w:hAnsi="Open Sans Light" w:cs="Open Sans Light"/>
                <w:color w:val="58626E" w:themeColor="text2"/>
                <w:sz w:val="20"/>
                <w:szCs w:val="20"/>
              </w:rPr>
              <w:t>Speed up decision-making;</w:t>
            </w:r>
          </w:p>
          <w:p w14:paraId="219CDCA5" w14:textId="49482CBF" w:rsidR="00935236" w:rsidRDefault="7B8D3129" w:rsidP="6B02C682">
            <w:pPr>
              <w:pStyle w:val="ListParagraph"/>
              <w:numPr>
                <w:ilvl w:val="0"/>
                <w:numId w:val="3"/>
              </w:numPr>
              <w:spacing w:before="240" w:after="240" w:line="280" w:lineRule="atLeast"/>
              <w:rPr>
                <w:rFonts w:ascii="Open Sans Light" w:eastAsia="Open Sans Light" w:hAnsi="Open Sans Light" w:cs="Open Sans Light"/>
                <w:color w:val="58626E" w:themeColor="text2"/>
                <w:sz w:val="20"/>
                <w:szCs w:val="20"/>
              </w:rPr>
            </w:pPr>
            <w:r w:rsidRPr="6B02C682">
              <w:rPr>
                <w:rFonts w:ascii="Open Sans Light" w:eastAsia="Open Sans Light" w:hAnsi="Open Sans Light" w:cs="Open Sans Light"/>
                <w:color w:val="58626E" w:themeColor="text2"/>
                <w:sz w:val="20"/>
                <w:szCs w:val="20"/>
              </w:rPr>
              <w:t>Provide certainty to funders;</w:t>
            </w:r>
          </w:p>
          <w:p w14:paraId="0F87CC04" w14:textId="64E028D0" w:rsidR="00935236" w:rsidRDefault="7B8D3129" w:rsidP="6B02C682">
            <w:pPr>
              <w:pStyle w:val="ListParagraph"/>
              <w:numPr>
                <w:ilvl w:val="0"/>
                <w:numId w:val="3"/>
              </w:numPr>
              <w:spacing w:before="240" w:after="240" w:line="280" w:lineRule="atLeast"/>
              <w:rPr>
                <w:rFonts w:ascii="Open Sans Light" w:eastAsia="Open Sans Light" w:hAnsi="Open Sans Light" w:cs="Open Sans Light"/>
                <w:color w:val="58626E" w:themeColor="text2"/>
                <w:sz w:val="20"/>
                <w:szCs w:val="20"/>
              </w:rPr>
            </w:pPr>
            <w:r w:rsidRPr="6B02C682">
              <w:rPr>
                <w:rFonts w:ascii="Open Sans Light" w:eastAsia="Open Sans Light" w:hAnsi="Open Sans Light" w:cs="Open Sans Light"/>
                <w:color w:val="58626E" w:themeColor="text2"/>
                <w:sz w:val="20"/>
                <w:szCs w:val="20"/>
              </w:rPr>
              <w:t>Give planners confidence in applying the policy; and</w:t>
            </w:r>
          </w:p>
          <w:p w14:paraId="7537AC16" w14:textId="31996CE1" w:rsidR="00935236" w:rsidRDefault="7B8D3129" w:rsidP="6B02C682">
            <w:pPr>
              <w:pStyle w:val="ListParagraph"/>
              <w:numPr>
                <w:ilvl w:val="0"/>
                <w:numId w:val="3"/>
              </w:numPr>
              <w:spacing w:before="240" w:after="240" w:line="280" w:lineRule="atLeast"/>
              <w:rPr>
                <w:rFonts w:ascii="Open Sans Light" w:eastAsia="Open Sans Light" w:hAnsi="Open Sans Light" w:cs="Open Sans Light"/>
                <w:color w:val="58626E" w:themeColor="text2"/>
                <w:sz w:val="20"/>
                <w:szCs w:val="20"/>
              </w:rPr>
            </w:pPr>
            <w:r w:rsidRPr="6B02C682">
              <w:rPr>
                <w:rFonts w:ascii="Open Sans Light" w:eastAsia="Open Sans Light" w:hAnsi="Open Sans Light" w:cs="Open Sans Light"/>
                <w:color w:val="58626E" w:themeColor="text2"/>
                <w:sz w:val="20"/>
                <w:szCs w:val="20"/>
              </w:rPr>
              <w:t>Ensure the relief achieves consistent outcomes across London.</w:t>
            </w:r>
          </w:p>
          <w:p w14:paraId="13C07034" w14:textId="165AC94C" w:rsidR="00935236" w:rsidRDefault="00935236" w:rsidP="00AA6B7F">
            <w:pPr>
              <w:pStyle w:val="BodyText"/>
            </w:pPr>
          </w:p>
          <w:p w14:paraId="0FFAD6B8" w14:textId="77777777" w:rsidR="00935236" w:rsidRDefault="00935236" w:rsidP="00AA6B7F"/>
        </w:tc>
      </w:tr>
      <w:tr w:rsidR="00935236" w14:paraId="54C2FEC7" w14:textId="77777777" w:rsidTr="6B02C682">
        <w:trPr>
          <w:trHeight w:val="300"/>
        </w:trPr>
        <w:tc>
          <w:tcPr>
            <w:tcW w:w="1515" w:type="dxa"/>
          </w:tcPr>
          <w:p w14:paraId="577C2191" w14:textId="211F9CCA" w:rsidR="00935236" w:rsidRDefault="00935236" w:rsidP="00AA6B7F">
            <w:pPr>
              <w:pStyle w:val="Heading5"/>
            </w:pPr>
            <w:r>
              <w:t>QUESTION 19</w:t>
            </w:r>
          </w:p>
        </w:tc>
        <w:tc>
          <w:tcPr>
            <w:tcW w:w="8071" w:type="dxa"/>
          </w:tcPr>
          <w:p w14:paraId="54CEA9CE" w14:textId="77777777" w:rsidR="00935236" w:rsidRDefault="00935236" w:rsidP="00AA6B7F">
            <w:pPr>
              <w:pStyle w:val="Introductiontext"/>
            </w:pPr>
            <w:r>
              <w:t>The Government welcomes views on the appropriate and proportionate level of information that a developer must provide for a scheme in order to be able to qualify for the relief, ensuring that only those schemes which genuinely need the relief are able to benefit from it but avoiding the level of viability testing that would be required under the GLA’s Viability Tested Route.</w:t>
            </w:r>
          </w:p>
          <w:p w14:paraId="17551510" w14:textId="77777777" w:rsidR="00935236" w:rsidRDefault="00935236" w:rsidP="00AA6B7F"/>
          <w:p w14:paraId="780879EE" w14:textId="3EEEC8F0" w:rsidR="00935236" w:rsidRDefault="784D82E7" w:rsidP="6B02C682">
            <w:pPr>
              <w:spacing w:before="240" w:after="240"/>
              <w:rPr>
                <w:rFonts w:ascii="Open Sans Light" w:eastAsia="Open Sans Light" w:hAnsi="Open Sans Light" w:cs="Open Sans Light"/>
              </w:rPr>
            </w:pPr>
            <w:r w:rsidRPr="6B02C682">
              <w:rPr>
                <w:rFonts w:ascii="Open Sans Light" w:eastAsia="Open Sans Light" w:hAnsi="Open Sans Light" w:cs="Open Sans Light"/>
              </w:rPr>
              <w:t>The BPF considers the proposed information requirements proportionate and reasonable. Developers already provide similar information as part of viability assessments, and the use of residual valuations benchmarked against land value or target returns is well understood.</w:t>
            </w:r>
          </w:p>
          <w:p w14:paraId="7481E52D" w14:textId="7EF67C9D" w:rsidR="00935236" w:rsidRDefault="784D82E7" w:rsidP="6B02C682">
            <w:pPr>
              <w:spacing w:before="240" w:after="240"/>
              <w:rPr>
                <w:rFonts w:ascii="Open Sans Light" w:eastAsia="Open Sans Light" w:hAnsi="Open Sans Light" w:cs="Open Sans Light"/>
              </w:rPr>
            </w:pPr>
            <w:r w:rsidRPr="6B02C682">
              <w:rPr>
                <w:rFonts w:ascii="Open Sans Light" w:eastAsia="Open Sans Light" w:hAnsi="Open Sans Light" w:cs="Open Sans Light"/>
              </w:rPr>
              <w:t>Provided the process avoids reintroducing full viability testing akin to the GLA’s Viability Tested Route, the proposals strike an appropriate balance between robustness and efficiency.</w:t>
            </w:r>
          </w:p>
          <w:p w14:paraId="26779605" w14:textId="3D9EB2E7" w:rsidR="00935236" w:rsidRDefault="00935236" w:rsidP="00AA6B7F"/>
        </w:tc>
      </w:tr>
      <w:tr w:rsidR="00935236" w14:paraId="72E97699" w14:textId="77777777" w:rsidTr="6B02C682">
        <w:trPr>
          <w:trHeight w:val="300"/>
        </w:trPr>
        <w:tc>
          <w:tcPr>
            <w:tcW w:w="1515" w:type="dxa"/>
          </w:tcPr>
          <w:p w14:paraId="416FB1A8" w14:textId="77777777" w:rsidR="00935236" w:rsidRDefault="00935236" w:rsidP="00AA6B7F">
            <w:pPr>
              <w:pStyle w:val="Heading5"/>
            </w:pPr>
            <w:r>
              <w:t>QUESTION 20</w:t>
            </w:r>
          </w:p>
          <w:p w14:paraId="01B769E5" w14:textId="77777777" w:rsidR="009E02E8" w:rsidRPr="009E02E8" w:rsidRDefault="009E02E8" w:rsidP="009E02E8"/>
          <w:p w14:paraId="0F33CCF8" w14:textId="77777777" w:rsidR="009E02E8" w:rsidRPr="009E02E8" w:rsidRDefault="009E02E8" w:rsidP="009E02E8"/>
          <w:p w14:paraId="46C7CB85" w14:textId="77777777" w:rsidR="009E02E8" w:rsidRPr="009E02E8" w:rsidRDefault="009E02E8" w:rsidP="009E02E8"/>
          <w:p w14:paraId="59F077A7" w14:textId="77777777" w:rsidR="009E02E8" w:rsidRPr="009E02E8" w:rsidRDefault="009E02E8" w:rsidP="009E02E8"/>
          <w:p w14:paraId="0962F285" w14:textId="77777777" w:rsidR="009E02E8" w:rsidRPr="009E02E8" w:rsidRDefault="009E02E8" w:rsidP="009E02E8"/>
          <w:p w14:paraId="451255C4" w14:textId="77777777" w:rsidR="009E02E8" w:rsidRPr="009E02E8" w:rsidRDefault="009E02E8" w:rsidP="009E02E8"/>
          <w:p w14:paraId="6D4026D2" w14:textId="77777777" w:rsidR="009E02E8" w:rsidRPr="009E02E8" w:rsidRDefault="009E02E8" w:rsidP="009E02E8"/>
          <w:p w14:paraId="0F5B3A5B" w14:textId="77777777" w:rsidR="009E02E8" w:rsidRPr="009E02E8" w:rsidRDefault="009E02E8" w:rsidP="009E02E8"/>
          <w:p w14:paraId="09BB4F06" w14:textId="77777777" w:rsidR="009E02E8" w:rsidRPr="009E02E8" w:rsidRDefault="009E02E8" w:rsidP="009E02E8"/>
          <w:p w14:paraId="53BA68FC" w14:textId="77777777" w:rsidR="009E02E8" w:rsidRPr="009E02E8" w:rsidRDefault="009E02E8" w:rsidP="009E02E8"/>
          <w:p w14:paraId="7582C687" w14:textId="77777777" w:rsidR="009E02E8" w:rsidRPr="009E02E8" w:rsidRDefault="009E02E8" w:rsidP="009E02E8"/>
          <w:p w14:paraId="6E7B6AFE" w14:textId="77777777" w:rsidR="009E02E8" w:rsidRPr="009E02E8" w:rsidRDefault="009E02E8" w:rsidP="009E02E8"/>
          <w:p w14:paraId="02FD8674" w14:textId="77777777" w:rsidR="009E02E8" w:rsidRPr="009E02E8" w:rsidRDefault="009E02E8" w:rsidP="009E02E8"/>
          <w:p w14:paraId="6B577421" w14:textId="77777777" w:rsidR="009E02E8" w:rsidRPr="009E02E8" w:rsidRDefault="009E02E8" w:rsidP="009E02E8"/>
          <w:p w14:paraId="7EB0A919" w14:textId="77777777" w:rsidR="009E02E8" w:rsidRPr="009E02E8" w:rsidRDefault="009E02E8" w:rsidP="009E02E8"/>
          <w:p w14:paraId="65E49A2A" w14:textId="77777777" w:rsidR="009E02E8" w:rsidRPr="009E02E8" w:rsidRDefault="009E02E8" w:rsidP="009E02E8"/>
          <w:p w14:paraId="755004A3" w14:textId="77777777" w:rsidR="009E02E8" w:rsidRPr="009E02E8" w:rsidRDefault="009E02E8" w:rsidP="009E02E8"/>
          <w:p w14:paraId="3120723E" w14:textId="77777777" w:rsidR="009E02E8" w:rsidRPr="009E02E8" w:rsidRDefault="009E02E8" w:rsidP="009E02E8"/>
          <w:p w14:paraId="4DBD1301" w14:textId="77777777" w:rsidR="009E02E8" w:rsidRPr="009E02E8" w:rsidRDefault="009E02E8" w:rsidP="009E02E8"/>
          <w:p w14:paraId="07AD5E10" w14:textId="77777777" w:rsidR="009E02E8" w:rsidRDefault="009E02E8" w:rsidP="009E02E8">
            <w:pPr>
              <w:rPr>
                <w:rFonts w:asciiTheme="majorHAnsi" w:eastAsiaTheme="majorEastAsia" w:hAnsiTheme="majorHAnsi" w:cstheme="majorBidi"/>
                <w:caps/>
              </w:rPr>
            </w:pPr>
          </w:p>
          <w:p w14:paraId="64AF45BB" w14:textId="77777777" w:rsidR="009E02E8" w:rsidRDefault="009E02E8" w:rsidP="009E02E8">
            <w:pPr>
              <w:rPr>
                <w:rFonts w:asciiTheme="majorHAnsi" w:eastAsiaTheme="majorEastAsia" w:hAnsiTheme="majorHAnsi" w:cstheme="majorBidi"/>
                <w:caps/>
                <w:color w:val="198ECA" w:themeColor="accent1"/>
                <w:sz w:val="18"/>
                <w:szCs w:val="18"/>
              </w:rPr>
            </w:pPr>
          </w:p>
          <w:p w14:paraId="57B504A3" w14:textId="60F34444" w:rsidR="009E02E8" w:rsidRPr="009E02E8" w:rsidRDefault="009E02E8" w:rsidP="009E02E8">
            <w:pPr>
              <w:pStyle w:val="Heading6"/>
            </w:pPr>
            <w:r w:rsidRPr="009E02E8">
              <w:rPr>
                <w:color w:val="198ECA" w:themeColor="accent1"/>
              </w:rPr>
              <w:t>QUESTION 21</w:t>
            </w:r>
          </w:p>
        </w:tc>
        <w:tc>
          <w:tcPr>
            <w:tcW w:w="8071" w:type="dxa"/>
          </w:tcPr>
          <w:p w14:paraId="35A16494" w14:textId="77777777" w:rsidR="00935236" w:rsidRDefault="00935236" w:rsidP="00AA6B7F">
            <w:pPr>
              <w:pStyle w:val="Introductiontext"/>
            </w:pPr>
            <w:r>
              <w:t>The Government welcomes views on whether existing enforcement</w:t>
            </w:r>
          </w:p>
          <w:p w14:paraId="0B9C4BCC" w14:textId="77777777" w:rsidR="00935236" w:rsidRDefault="00935236" w:rsidP="00AA6B7F">
            <w:pPr>
              <w:pStyle w:val="Introductiontext"/>
            </w:pPr>
            <w:r>
              <w:t xml:space="preserve">mechanisms for </w:t>
            </w:r>
          </w:p>
          <w:p w14:paraId="06149646" w14:textId="77777777" w:rsidR="00935236" w:rsidRDefault="00935236" w:rsidP="00935236">
            <w:pPr>
              <w:pStyle w:val="Introductiontext"/>
              <w:numPr>
                <w:ilvl w:val="0"/>
                <w:numId w:val="36"/>
              </w:numPr>
            </w:pPr>
            <w:r>
              <w:t xml:space="preserve"> statutory declarations (see section 5 of the Perjury Act 1911), and</w:t>
            </w:r>
          </w:p>
          <w:p w14:paraId="5ED5A1A4" w14:textId="77777777" w:rsidR="00935236" w:rsidRDefault="00935236" w:rsidP="00935236">
            <w:pPr>
              <w:pStyle w:val="Introductiontext"/>
              <w:numPr>
                <w:ilvl w:val="0"/>
                <w:numId w:val="36"/>
              </w:numPr>
            </w:pPr>
            <w:r>
              <w:t>prosecution under the CIL Regs (see Regulation 110 of the CIL Regs) for supplying false or misleading information that is required to be provided under those Regulations</w:t>
            </w:r>
          </w:p>
          <w:p w14:paraId="44A702D8" w14:textId="77777777" w:rsidR="00935236" w:rsidRDefault="00935236" w:rsidP="00AA6B7F">
            <w:pPr>
              <w:pStyle w:val="Introductiontext"/>
            </w:pPr>
            <w:r>
              <w:t>are sufficient to deter gaming of the system, or whether other deterrents should be made available? If you think these are not sufficient, please set out your reasons and views on what kinds of other deterrents may be needed, noting the Government’s aims of creating a streamlined and certain process.</w:t>
            </w:r>
          </w:p>
          <w:p w14:paraId="5624F262" w14:textId="77777777" w:rsidR="00935236" w:rsidRDefault="00935236" w:rsidP="00AA6B7F">
            <w:pPr>
              <w:pStyle w:val="Introductiontext"/>
            </w:pPr>
          </w:p>
          <w:p w14:paraId="24BE6E73" w14:textId="7E04759A" w:rsidR="3F8373E2" w:rsidRDefault="3F8373E2" w:rsidP="6B02C682">
            <w:pPr>
              <w:spacing w:before="240" w:after="240"/>
              <w:rPr>
                <w:rFonts w:ascii="Open Sans Light" w:eastAsia="Open Sans Light" w:hAnsi="Open Sans Light" w:cs="Open Sans Light"/>
              </w:rPr>
            </w:pPr>
            <w:r w:rsidRPr="6B02C682">
              <w:rPr>
                <w:rFonts w:ascii="Open Sans Light" w:eastAsia="Open Sans Light" w:hAnsi="Open Sans Light" w:cs="Open Sans Light"/>
              </w:rPr>
              <w:t>The BPF considers the existing enforcement mechanisms—statutory declarations under the Perjury Act 1911 and enforcement under the CIL Regulations—to be sufficient to deter gaming of the system.</w:t>
            </w:r>
          </w:p>
          <w:p w14:paraId="28AA6BF1" w14:textId="77777777" w:rsidR="00E73B90" w:rsidRDefault="3F8373E2" w:rsidP="00AA6B7F">
            <w:pPr>
              <w:rPr>
                <w:rFonts w:ascii="Open Sans Light" w:eastAsia="Open Sans Light" w:hAnsi="Open Sans Light" w:cs="Open Sans Light"/>
              </w:rPr>
            </w:pPr>
            <w:r w:rsidRPr="6B02C682">
              <w:rPr>
                <w:rFonts w:ascii="Open Sans Light" w:eastAsia="Open Sans Light" w:hAnsi="Open Sans Light" w:cs="Open Sans Light"/>
              </w:rPr>
              <w:t>Introducing additional deterrents risks complicating the process and undermining the Government’s objective of creating a streamlined and certain route to relief.</w:t>
            </w:r>
          </w:p>
          <w:p w14:paraId="4A067078" w14:textId="77777777" w:rsidR="009E02E8" w:rsidRDefault="009E02E8" w:rsidP="00AA6B7F">
            <w:pPr>
              <w:rPr>
                <w:rFonts w:ascii="Open Sans Light" w:eastAsia="Open Sans Light" w:hAnsi="Open Sans Light" w:cs="Open Sans Light"/>
              </w:rPr>
            </w:pPr>
          </w:p>
          <w:p w14:paraId="6B9755AF" w14:textId="77777777" w:rsidR="009E02E8" w:rsidRDefault="009E02E8" w:rsidP="009E02E8">
            <w:pPr>
              <w:pStyle w:val="Introductiontext"/>
            </w:pPr>
            <w:r>
              <w:t>The Government is interested in obtaining views on the suitability of the</w:t>
            </w:r>
          </w:p>
          <w:p w14:paraId="27BF0CB1" w14:textId="77777777" w:rsidR="009E02E8" w:rsidRDefault="009E02E8" w:rsidP="009E02E8">
            <w:pPr>
              <w:pStyle w:val="Introductiontext"/>
            </w:pPr>
            <w:r>
              <w:t>proposed process for securing the relief. The process is intended to provide consistent, timely and proportionate decision-making, whilst ensuring that applications for relief are robust and honest. We welcome feedback on whether these steps are practical and effective in supporting the intended outcome.</w:t>
            </w:r>
          </w:p>
          <w:p w14:paraId="385DCCFA" w14:textId="77777777" w:rsidR="009E02E8" w:rsidRDefault="009E02E8" w:rsidP="00AA6B7F">
            <w:pPr>
              <w:rPr>
                <w:rFonts w:ascii="Open Sans Light" w:eastAsia="Open Sans Light" w:hAnsi="Open Sans Light" w:cs="Open Sans Light"/>
              </w:rPr>
            </w:pPr>
          </w:p>
          <w:p w14:paraId="3DDD3D83" w14:textId="77777777" w:rsidR="009E02E8" w:rsidRDefault="009E02E8" w:rsidP="009E02E8">
            <w:pPr>
              <w:spacing w:before="240" w:after="240"/>
              <w:rPr>
                <w:rFonts w:ascii="Open Sans Light" w:eastAsia="Open Sans Light" w:hAnsi="Open Sans Light" w:cs="Open Sans Light"/>
              </w:rPr>
            </w:pPr>
            <w:r w:rsidRPr="6B02C682">
              <w:rPr>
                <w:rFonts w:ascii="Open Sans Light" w:eastAsia="Open Sans Light" w:hAnsi="Open Sans Light" w:cs="Open Sans Light"/>
              </w:rPr>
              <w:t>The BPF supports the Government’s intention to create a consistent, timely and proportionate process for securing CIL relief. However, there are concerns that the proposed process, particularly its time-limited nature, does not align well with the realities of development delivery and financing in London.</w:t>
            </w:r>
          </w:p>
          <w:p w14:paraId="6B8DACD2" w14:textId="77777777" w:rsidR="009E02E8" w:rsidRDefault="009E02E8" w:rsidP="009E02E8">
            <w:pPr>
              <w:spacing w:before="240" w:after="240"/>
              <w:rPr>
                <w:rFonts w:ascii="Open Sans Light" w:eastAsia="Open Sans Light" w:hAnsi="Open Sans Light" w:cs="Open Sans Light"/>
              </w:rPr>
            </w:pPr>
            <w:r w:rsidRPr="6B02C682">
              <w:rPr>
                <w:rFonts w:ascii="Open Sans Light" w:eastAsia="Open Sans Light" w:hAnsi="Open Sans Light" w:cs="Open Sans Light"/>
              </w:rPr>
              <w:t>Residential development timelines, especially for larger or more complex schemes, often extend well beyond the proposed relief window due to land transactions, financing arrangements, planning negotiations, procurement and phased construction. As a result, many schemes that would benefit most from the relief may be unable to access it within the required timeframe.</w:t>
            </w:r>
          </w:p>
          <w:p w14:paraId="1CE2CEA8" w14:textId="352BD326" w:rsidR="009E02E8" w:rsidRDefault="009E02E8" w:rsidP="009E02E8">
            <w:pPr>
              <w:rPr>
                <w:rFonts w:ascii="Open Sans Light" w:eastAsia="Open Sans Light" w:hAnsi="Open Sans Light" w:cs="Open Sans Light"/>
              </w:rPr>
            </w:pPr>
            <w:r w:rsidRPr="6B02C682">
              <w:rPr>
                <w:rFonts w:ascii="Open Sans Light" w:eastAsia="Open Sans Light" w:hAnsi="Open Sans Light" w:cs="Open Sans Light"/>
              </w:rPr>
              <w:t>While the proposals are framed as an emergency measure to unlock stalled schemes, the BPF is concerned that the safeguards intended to prevent misuse may also limit effectiveness. Greater flexibility, particularly for schemes with existing permissions that have not yet commenced, would improve the suitability of the process and help ensure the relief achieves its intended outcomes.</w:t>
            </w:r>
          </w:p>
          <w:p w14:paraId="47156723" w14:textId="77777777" w:rsidR="009E02E8" w:rsidRDefault="009E02E8" w:rsidP="00AA6B7F">
            <w:pPr>
              <w:rPr>
                <w:rFonts w:ascii="Open Sans Light" w:eastAsia="Open Sans Light" w:hAnsi="Open Sans Light" w:cs="Open Sans Light"/>
              </w:rPr>
            </w:pPr>
          </w:p>
          <w:p w14:paraId="3E9BA843" w14:textId="77777777" w:rsidR="00E73B90" w:rsidRDefault="00E73B90" w:rsidP="00AA6B7F"/>
          <w:p w14:paraId="4287E859" w14:textId="5B5DAC6C" w:rsidR="00E73B90" w:rsidRDefault="00E73B90" w:rsidP="00AA6B7F"/>
        </w:tc>
      </w:tr>
      <w:tr w:rsidR="00935236" w14:paraId="2C74412D" w14:textId="77777777" w:rsidTr="6B02C682">
        <w:trPr>
          <w:trHeight w:val="300"/>
        </w:trPr>
        <w:tc>
          <w:tcPr>
            <w:tcW w:w="1515" w:type="dxa"/>
          </w:tcPr>
          <w:p w14:paraId="65B2BA19" w14:textId="006AA003" w:rsidR="00935236" w:rsidRDefault="00935236" w:rsidP="00AA6B7F">
            <w:pPr>
              <w:pStyle w:val="Heading5"/>
            </w:pPr>
            <w:r>
              <w:t>QUESTION 22</w:t>
            </w:r>
          </w:p>
        </w:tc>
        <w:tc>
          <w:tcPr>
            <w:tcW w:w="8071" w:type="dxa"/>
          </w:tcPr>
          <w:p w14:paraId="15893F86" w14:textId="77777777" w:rsidR="00935236" w:rsidRDefault="00935236" w:rsidP="00AA6B7F">
            <w:pPr>
              <w:pStyle w:val="Introductiontext"/>
            </w:pPr>
            <w:r>
              <w:t>Are you supportive of the overall approach proposed to securing relief?</w:t>
            </w:r>
          </w:p>
          <w:p w14:paraId="5B2C6AB0" w14:textId="08ECC234" w:rsidR="00935236" w:rsidRDefault="667E6B5C" w:rsidP="6B02C682">
            <w:pPr>
              <w:spacing w:before="240" w:after="240"/>
              <w:rPr>
                <w:rFonts w:ascii="Open Sans Light" w:eastAsia="Open Sans Light" w:hAnsi="Open Sans Light" w:cs="Open Sans Light"/>
              </w:rPr>
            </w:pPr>
            <w:r w:rsidRPr="6B02C682">
              <w:rPr>
                <w:rFonts w:ascii="Open Sans Light" w:eastAsia="Open Sans Light" w:hAnsi="Open Sans Light" w:cs="Open Sans Light"/>
              </w:rPr>
              <w:t>The BPF is broadly supportive of the overall approach and the Government’s objective of improving viability and accelerating housing delivery. Introducing a clearer and more standardised route to CIL relief is welcome and preferable to the current patchwork of local discretion and lengthy negotiations.</w:t>
            </w:r>
          </w:p>
          <w:p w14:paraId="72593DF7" w14:textId="789ED35A" w:rsidR="00935236" w:rsidRDefault="667E6B5C" w:rsidP="6B02C682">
            <w:pPr>
              <w:spacing w:before="240" w:after="240"/>
              <w:rPr>
                <w:rFonts w:ascii="Open Sans Light" w:eastAsia="Open Sans Light" w:hAnsi="Open Sans Light" w:cs="Open Sans Light"/>
              </w:rPr>
            </w:pPr>
            <w:r w:rsidRPr="6B02C682">
              <w:rPr>
                <w:rFonts w:ascii="Open Sans Light" w:eastAsia="Open Sans Light" w:hAnsi="Open Sans Light" w:cs="Open Sans Light"/>
              </w:rPr>
              <w:t>However, the BPF considers that the current proposals do not go far enough to address the scale of viability challenges facing residential development in London. In particular, the combination of a short relief window, application fees, limited relief levels and uncertainty around interaction with existing planning mechanisms risks undermining confidence among developers and funders. With further refinement, the approach could be significantly more effective.</w:t>
            </w:r>
          </w:p>
          <w:p w14:paraId="2C25427B" w14:textId="7DAF2EC7" w:rsidR="00935236" w:rsidRDefault="00935236" w:rsidP="00AA6B7F"/>
        </w:tc>
      </w:tr>
      <w:tr w:rsidR="00935236" w14:paraId="1239C89F" w14:textId="77777777" w:rsidTr="6B02C682">
        <w:trPr>
          <w:trHeight w:val="300"/>
        </w:trPr>
        <w:tc>
          <w:tcPr>
            <w:tcW w:w="1515" w:type="dxa"/>
          </w:tcPr>
          <w:p w14:paraId="02F522AF" w14:textId="150A2B81" w:rsidR="00935236" w:rsidRDefault="00935236" w:rsidP="00AA6B7F">
            <w:pPr>
              <w:pStyle w:val="Heading5"/>
            </w:pPr>
            <w:r>
              <w:t>QUESTION 23</w:t>
            </w:r>
          </w:p>
        </w:tc>
        <w:tc>
          <w:tcPr>
            <w:tcW w:w="8071" w:type="dxa"/>
          </w:tcPr>
          <w:p w14:paraId="4233AD8F" w14:textId="77777777" w:rsidR="00935236" w:rsidRDefault="00935236" w:rsidP="00AA6B7F">
            <w:pPr>
              <w:pStyle w:val="Introductiontext"/>
            </w:pPr>
            <w:r>
              <w:t>Do you foresee any challenges with particular aspects of the approach</w:t>
            </w:r>
          </w:p>
          <w:p w14:paraId="53961B8B" w14:textId="77777777" w:rsidR="00935236" w:rsidRDefault="00935236" w:rsidP="00AA6B7F">
            <w:pPr>
              <w:pStyle w:val="Introductiontext"/>
            </w:pPr>
            <w:r>
              <w:t>proposed to securing relief? If so, how might these be overcome?</w:t>
            </w:r>
          </w:p>
          <w:p w14:paraId="0CDE5A97" w14:textId="3521B675" w:rsidR="00935236" w:rsidRDefault="00935236" w:rsidP="6B02C682">
            <w:pPr>
              <w:rPr>
                <w:rFonts w:ascii="Open Sans Light" w:eastAsia="Open Sans Light" w:hAnsi="Open Sans Light" w:cs="Open Sans Light"/>
                <w:color w:val="58616E"/>
              </w:rPr>
            </w:pPr>
          </w:p>
          <w:p w14:paraId="53375325" w14:textId="4494B2BF" w:rsidR="00935236" w:rsidRDefault="16463D24" w:rsidP="6B02C682">
            <w:pPr>
              <w:rPr>
                <w:rFonts w:ascii="Open Sans Light" w:eastAsia="Open Sans Light" w:hAnsi="Open Sans Light" w:cs="Open Sans Light"/>
                <w:color w:val="58616E"/>
              </w:rPr>
            </w:pPr>
            <w:r w:rsidRPr="6B02C682">
              <w:rPr>
                <w:rFonts w:ascii="Open Sans Light" w:eastAsia="Open Sans Light" w:hAnsi="Open Sans Light" w:cs="Open Sans Light"/>
                <w:color w:val="58616E"/>
              </w:rPr>
              <w:t>The BPF foresees several challenges:</w:t>
            </w:r>
          </w:p>
          <w:p w14:paraId="1A9D945A" w14:textId="77777777" w:rsidR="005F14AB" w:rsidRDefault="005F14AB" w:rsidP="6B02C682">
            <w:pPr>
              <w:rPr>
                <w:rFonts w:ascii="Open Sans Light" w:eastAsia="Open Sans Light" w:hAnsi="Open Sans Light" w:cs="Open Sans Light"/>
                <w:color w:val="58616E"/>
              </w:rPr>
            </w:pPr>
          </w:p>
          <w:p w14:paraId="11F86A17" w14:textId="4F3F09BB" w:rsidR="00935236" w:rsidRDefault="16463D24" w:rsidP="6B02C682">
            <w:pPr>
              <w:pStyle w:val="ListParagraph"/>
              <w:numPr>
                <w:ilvl w:val="0"/>
                <w:numId w:val="2"/>
              </w:numPr>
              <w:spacing w:line="280" w:lineRule="atLeast"/>
              <w:rPr>
                <w:rFonts w:ascii="Open Sans Light" w:eastAsia="Open Sans Light" w:hAnsi="Open Sans Light" w:cs="Open Sans Light"/>
                <w:color w:val="58616E"/>
                <w:sz w:val="20"/>
                <w:szCs w:val="20"/>
              </w:rPr>
            </w:pPr>
            <w:r w:rsidRPr="6B02C682">
              <w:rPr>
                <w:rFonts w:ascii="Open Sans Light" w:eastAsia="Open Sans Light" w:hAnsi="Open Sans Light" w:cs="Open Sans Light"/>
                <w:color w:val="58616E"/>
                <w:sz w:val="20"/>
                <w:szCs w:val="20"/>
              </w:rPr>
              <w:t>Time limitation: As noted above, development and funding cycles often exceed the proposed relief period. Extending the duration of the relief or allowing greater flexibility for schemes already in the pipeline would help address this.</w:t>
            </w:r>
          </w:p>
          <w:p w14:paraId="3D732BFA" w14:textId="3B55E2D5" w:rsidR="00935236" w:rsidRDefault="16463D24" w:rsidP="6B02C682">
            <w:pPr>
              <w:pStyle w:val="ListParagraph"/>
              <w:numPr>
                <w:ilvl w:val="0"/>
                <w:numId w:val="2"/>
              </w:numPr>
              <w:spacing w:line="280" w:lineRule="atLeast"/>
              <w:rPr>
                <w:rFonts w:ascii="Open Sans Light" w:eastAsia="Open Sans Light" w:hAnsi="Open Sans Light" w:cs="Open Sans Light"/>
                <w:color w:val="58616E"/>
                <w:sz w:val="20"/>
                <w:szCs w:val="20"/>
              </w:rPr>
            </w:pPr>
            <w:r w:rsidRPr="6B02C682">
              <w:rPr>
                <w:rFonts w:ascii="Open Sans Light" w:eastAsia="Open Sans Light" w:hAnsi="Open Sans Light" w:cs="Open Sans Light"/>
                <w:color w:val="58616E"/>
                <w:sz w:val="20"/>
                <w:szCs w:val="20"/>
              </w:rPr>
              <w:t>Uncertainty and discretion: Any residual discretion at borough level risks inconsistent decision-making, delays and reduced confidence among funders. Clear national application criteria and mandatory application would mitigate this.</w:t>
            </w:r>
          </w:p>
          <w:p w14:paraId="45DE9148" w14:textId="28C05D67" w:rsidR="00935236" w:rsidRDefault="16463D24" w:rsidP="6B02C682">
            <w:pPr>
              <w:pStyle w:val="ListParagraph"/>
              <w:numPr>
                <w:ilvl w:val="0"/>
                <w:numId w:val="2"/>
              </w:numPr>
              <w:spacing w:line="280" w:lineRule="atLeast"/>
              <w:rPr>
                <w:rFonts w:ascii="Open Sans Light" w:eastAsia="Open Sans Light" w:hAnsi="Open Sans Light" w:cs="Open Sans Light"/>
                <w:color w:val="58616E"/>
                <w:sz w:val="20"/>
                <w:szCs w:val="20"/>
              </w:rPr>
            </w:pPr>
            <w:r w:rsidRPr="6B02C682">
              <w:rPr>
                <w:rFonts w:ascii="Open Sans Light" w:eastAsia="Open Sans Light" w:hAnsi="Open Sans Light" w:cs="Open Sans Light"/>
                <w:color w:val="58616E"/>
                <w:sz w:val="20"/>
                <w:szCs w:val="20"/>
              </w:rPr>
              <w:t>Application costs and risk: The high application fee combined with the reputational and commercial risks of refusal may discourage applications, particularly from SMEs.</w:t>
            </w:r>
          </w:p>
          <w:p w14:paraId="3F4E2F8D" w14:textId="616A225A" w:rsidR="00935236" w:rsidRDefault="00935236" w:rsidP="6B02C682">
            <w:pPr>
              <w:rPr>
                <w:rFonts w:ascii="Open Sans Light" w:eastAsia="Open Sans Light" w:hAnsi="Open Sans Light" w:cs="Open Sans Light"/>
                <w:color w:val="58616E"/>
              </w:rPr>
            </w:pPr>
          </w:p>
          <w:p w14:paraId="6A263001" w14:textId="48C061F6" w:rsidR="00935236" w:rsidRDefault="16463D24" w:rsidP="6B02C682">
            <w:pPr>
              <w:rPr>
                <w:rFonts w:ascii="Open Sans Light" w:eastAsia="Open Sans Light" w:hAnsi="Open Sans Light" w:cs="Open Sans Light"/>
                <w:color w:val="58616E"/>
                <w:sz w:val="18"/>
                <w:szCs w:val="18"/>
              </w:rPr>
            </w:pPr>
            <w:r w:rsidRPr="6B02C682">
              <w:rPr>
                <w:rFonts w:ascii="Open Sans Light" w:eastAsia="Open Sans Light" w:hAnsi="Open Sans Light" w:cs="Open Sans Light"/>
                <w:color w:val="58616E"/>
              </w:rPr>
              <w:t>These challenges could be overcome through longer-term certainty, clearer guidance, reduced fees, and a more rules-based approach to eligibility</w:t>
            </w:r>
            <w:r w:rsidRPr="6B02C682">
              <w:rPr>
                <w:rFonts w:ascii="Open Sans Light" w:eastAsia="Open Sans Light" w:hAnsi="Open Sans Light" w:cs="Open Sans Light"/>
                <w:color w:val="58616E"/>
                <w:sz w:val="18"/>
                <w:szCs w:val="18"/>
              </w:rPr>
              <w:t>.</w:t>
            </w:r>
          </w:p>
          <w:p w14:paraId="40AB801C" w14:textId="7E3A5A43" w:rsidR="00935236" w:rsidRDefault="00935236" w:rsidP="00AA6B7F">
            <w:pPr>
              <w:pStyle w:val="BodyText"/>
            </w:pPr>
          </w:p>
          <w:p w14:paraId="466B0208" w14:textId="77777777" w:rsidR="00935236" w:rsidRDefault="00935236" w:rsidP="00AA6B7F"/>
        </w:tc>
      </w:tr>
      <w:tr w:rsidR="00935236" w14:paraId="058B71DC" w14:textId="77777777" w:rsidTr="6B02C682">
        <w:trPr>
          <w:trHeight w:val="300"/>
        </w:trPr>
        <w:tc>
          <w:tcPr>
            <w:tcW w:w="1515" w:type="dxa"/>
          </w:tcPr>
          <w:p w14:paraId="4DD23BD3" w14:textId="5959C15A" w:rsidR="00935236" w:rsidRDefault="00935236" w:rsidP="00AA6B7F">
            <w:pPr>
              <w:pStyle w:val="Heading5"/>
            </w:pPr>
            <w:r>
              <w:t>QUESTION 24</w:t>
            </w:r>
          </w:p>
        </w:tc>
        <w:tc>
          <w:tcPr>
            <w:tcW w:w="8071" w:type="dxa"/>
          </w:tcPr>
          <w:p w14:paraId="635B75C8" w14:textId="77777777" w:rsidR="00935236" w:rsidRDefault="00935236" w:rsidP="00AA6B7F">
            <w:pPr>
              <w:pStyle w:val="Introductiontext"/>
            </w:pPr>
            <w:r>
              <w:t>The Government welcomes views on appropriate clawback provisions</w:t>
            </w:r>
          </w:p>
          <w:p w14:paraId="46C25C90" w14:textId="77777777" w:rsidR="00935236" w:rsidRDefault="00935236" w:rsidP="00AA6B7F">
            <w:pPr>
              <w:pStyle w:val="Introductiontext"/>
            </w:pPr>
            <w:r>
              <w:t>to ensure schemes which benefit from the relief contribute to urgent housing need. This will include clawback of relief if an incorrect/false statement is made about the viability evidence which is submitted to justify the need for relief from CIL.</w:t>
            </w:r>
          </w:p>
          <w:p w14:paraId="2965D129" w14:textId="77777777" w:rsidR="00935236" w:rsidRDefault="00935236" w:rsidP="00AA6B7F"/>
          <w:p w14:paraId="4FE6C653" w14:textId="6F524665" w:rsidR="00935236" w:rsidRDefault="2AD80DEF" w:rsidP="6B02C682">
            <w:pPr>
              <w:spacing w:before="240" w:after="240"/>
              <w:rPr>
                <w:rFonts w:ascii="Open Sans Light" w:eastAsia="Open Sans Light" w:hAnsi="Open Sans Light" w:cs="Open Sans Light"/>
              </w:rPr>
            </w:pPr>
            <w:r w:rsidRPr="6B02C682">
              <w:rPr>
                <w:rFonts w:ascii="Open Sans Light" w:eastAsia="Open Sans Light" w:hAnsi="Open Sans Light" w:cs="Open Sans Light"/>
              </w:rPr>
              <w:t>The BPF supports the principle of proportionate clawback provisions to ensure that relief is used appropriately and contributes to urgent housing need. It is reasonable that relief should be subject to clawback where schemes fail to progress</w:t>
            </w:r>
            <w:r w:rsidR="005F14AB">
              <w:rPr>
                <w:rFonts w:ascii="Open Sans Light" w:eastAsia="Open Sans Light" w:hAnsi="Open Sans Light" w:cs="Open Sans Light"/>
              </w:rPr>
              <w:t xml:space="preserve">, </w:t>
            </w:r>
            <w:r w:rsidRPr="6B02C682">
              <w:rPr>
                <w:rFonts w:ascii="Open Sans Light" w:eastAsia="Open Sans Light" w:hAnsi="Open Sans Light" w:cs="Open Sans Light"/>
              </w:rPr>
              <w:t>where incorrect or misleading information has been provided</w:t>
            </w:r>
            <w:r w:rsidR="005F14AB">
              <w:rPr>
                <w:rFonts w:ascii="Open Sans Light" w:eastAsia="Open Sans Light" w:hAnsi="Open Sans Light" w:cs="Open Sans Light"/>
              </w:rPr>
              <w:t>,</w:t>
            </w:r>
            <w:r w:rsidR="00E62CA4">
              <w:rPr>
                <w:rFonts w:ascii="Open Sans Light" w:eastAsia="Open Sans Light" w:hAnsi="Open Sans Light" w:cs="Open Sans Light"/>
              </w:rPr>
              <w:t xml:space="preserve"> or </w:t>
            </w:r>
            <w:r w:rsidR="00E62CA4" w:rsidRPr="00E62CA4">
              <w:rPr>
                <w:rFonts w:ascii="Open Sans Light" w:eastAsia="Open Sans Light" w:hAnsi="Open Sans Light" w:cs="Open Sans Light"/>
              </w:rPr>
              <w:t>where promised affordable housing is not delivered in line with planning obligations.</w:t>
            </w:r>
          </w:p>
          <w:p w14:paraId="547EAD13" w14:textId="03C2C278" w:rsidR="6B02C682" w:rsidRDefault="2AD80DEF" w:rsidP="6B02C682">
            <w:pPr>
              <w:spacing w:before="240" w:after="240"/>
              <w:rPr>
                <w:rFonts w:ascii="Open Sans Light" w:eastAsia="Open Sans Light" w:hAnsi="Open Sans Light" w:cs="Open Sans Light"/>
              </w:rPr>
            </w:pPr>
            <w:r w:rsidRPr="6B02C682">
              <w:rPr>
                <w:rFonts w:ascii="Open Sans Light" w:eastAsia="Open Sans Light" w:hAnsi="Open Sans Light" w:cs="Open Sans Light"/>
              </w:rPr>
              <w:t>However, clawback mechanisms must be clearly defined, predictable and limited in scope. Overly complex or open-ended clawback provisions risk reintroducing late-stage uncertainty, which is already a significant concern for funders. Clawback should focus on clear instances of misuse or non-delivery</w:t>
            </w:r>
            <w:r w:rsidR="00E62CA4">
              <w:rPr>
                <w:rFonts w:ascii="Open Sans Light" w:eastAsia="Open Sans Light" w:hAnsi="Open Sans Light" w:cs="Open Sans Light"/>
              </w:rPr>
              <w:t xml:space="preserve">, and therefore set out ‘disqualifying events’ in order to avoid clawback </w:t>
            </w:r>
            <w:r w:rsidR="00F92B30">
              <w:rPr>
                <w:rFonts w:ascii="Open Sans Light" w:eastAsia="Open Sans Light" w:hAnsi="Open Sans Light" w:cs="Open Sans Light"/>
              </w:rPr>
              <w:t xml:space="preserve">in scenarios </w:t>
            </w:r>
            <w:r w:rsidR="00E62CA4">
              <w:rPr>
                <w:rFonts w:ascii="Open Sans Light" w:eastAsia="Open Sans Light" w:hAnsi="Open Sans Light" w:cs="Open Sans Light"/>
              </w:rPr>
              <w:t xml:space="preserve">where valid factors such as extended planning processes or </w:t>
            </w:r>
            <w:r w:rsidR="00F92B30">
              <w:rPr>
                <w:rFonts w:ascii="Open Sans Light" w:eastAsia="Open Sans Light" w:hAnsi="Open Sans Light" w:cs="Open Sans Light"/>
              </w:rPr>
              <w:t>reserved matters applications have delayed a scheme.</w:t>
            </w:r>
          </w:p>
          <w:p w14:paraId="4DF85E08" w14:textId="77777777" w:rsidR="00935236" w:rsidRDefault="00935236" w:rsidP="00AA6B7F">
            <w:pPr>
              <w:pStyle w:val="BodyText"/>
            </w:pPr>
          </w:p>
          <w:p w14:paraId="4C3C2542" w14:textId="77777777" w:rsidR="00935236" w:rsidRDefault="00935236" w:rsidP="00AA6B7F">
            <w:pPr>
              <w:pStyle w:val="Introductiontext"/>
            </w:pPr>
          </w:p>
          <w:p w14:paraId="3A6E3256" w14:textId="77777777" w:rsidR="00935236" w:rsidRDefault="00935236" w:rsidP="00AA6B7F">
            <w:pPr>
              <w:pStyle w:val="BodyText"/>
              <w:rPr>
                <w:b/>
                <w:bCs/>
                <w:sz w:val="22"/>
                <w:szCs w:val="22"/>
                <w:u w:val="single"/>
              </w:rPr>
            </w:pPr>
            <w:r w:rsidRPr="7084E50A">
              <w:rPr>
                <w:b/>
                <w:bCs/>
                <w:sz w:val="22"/>
                <w:szCs w:val="22"/>
                <w:u w:val="single"/>
              </w:rPr>
              <w:t>Section 5: Administration</w:t>
            </w:r>
          </w:p>
          <w:p w14:paraId="308DF385" w14:textId="77777777" w:rsidR="00935236" w:rsidRDefault="00935236" w:rsidP="00AA6B7F"/>
          <w:p w14:paraId="6A742A66" w14:textId="77777777" w:rsidR="00935236" w:rsidRDefault="00935236" w:rsidP="00AA6B7F"/>
        </w:tc>
      </w:tr>
      <w:tr w:rsidR="00935236" w14:paraId="0C68CD55" w14:textId="77777777" w:rsidTr="6B02C682">
        <w:trPr>
          <w:trHeight w:val="300"/>
        </w:trPr>
        <w:tc>
          <w:tcPr>
            <w:tcW w:w="1515" w:type="dxa"/>
          </w:tcPr>
          <w:p w14:paraId="519BC07D" w14:textId="0C2D2737" w:rsidR="00935236" w:rsidRDefault="00935236" w:rsidP="00AA6B7F">
            <w:pPr>
              <w:pStyle w:val="Heading5"/>
            </w:pPr>
            <w:r>
              <w:t>QUESTION 25</w:t>
            </w:r>
          </w:p>
        </w:tc>
        <w:tc>
          <w:tcPr>
            <w:tcW w:w="8071" w:type="dxa"/>
          </w:tcPr>
          <w:p w14:paraId="3B4628AC" w14:textId="77777777" w:rsidR="00935236" w:rsidRDefault="00935236" w:rsidP="00AA6B7F">
            <w:pPr>
              <w:pStyle w:val="Introductiontext"/>
            </w:pPr>
            <w:r>
              <w:t>Are you supportive of the overall approach proposed to administering</w:t>
            </w:r>
          </w:p>
          <w:p w14:paraId="5E03B1EA" w14:textId="64FDFE09" w:rsidR="00935236" w:rsidRDefault="00935236" w:rsidP="6B02C682">
            <w:pPr>
              <w:pStyle w:val="Introductiontext"/>
            </w:pPr>
            <w:r>
              <w:t>the relief?</w:t>
            </w:r>
          </w:p>
          <w:p w14:paraId="4420A614" w14:textId="679C0C76" w:rsidR="031B1109" w:rsidRDefault="031B1109" w:rsidP="6B02C682">
            <w:pPr>
              <w:spacing w:before="240" w:after="240"/>
            </w:pPr>
            <w:r w:rsidRPr="6B02C682">
              <w:rPr>
                <w:rFonts w:ascii="Open Sans Light" w:eastAsia="Open Sans Light" w:hAnsi="Open Sans Light" w:cs="Open Sans Light"/>
              </w:rPr>
              <w:t>Yes. The BPF supports the proposed administrative approach, including alignment with UK subsidy control rules and consultation between LPAs and the GLA. A coordinated approach is essential to ensure consistency and avoid duplication or delay.</w:t>
            </w:r>
          </w:p>
          <w:p w14:paraId="1D0D8863" w14:textId="6782326A" w:rsidR="6B02C682" w:rsidRDefault="6B02C682" w:rsidP="6B02C682">
            <w:pPr>
              <w:pStyle w:val="BodyText"/>
            </w:pPr>
          </w:p>
          <w:p w14:paraId="0341BFD4" w14:textId="77777777" w:rsidR="00935236" w:rsidRDefault="00935236" w:rsidP="00AA6B7F"/>
        </w:tc>
      </w:tr>
      <w:tr w:rsidR="00935236" w14:paraId="5E99B0F6" w14:textId="77777777" w:rsidTr="6B02C682">
        <w:trPr>
          <w:trHeight w:val="300"/>
        </w:trPr>
        <w:tc>
          <w:tcPr>
            <w:tcW w:w="1515" w:type="dxa"/>
          </w:tcPr>
          <w:p w14:paraId="2B99FAE4" w14:textId="5FCCD312" w:rsidR="00935236" w:rsidRDefault="00935236" w:rsidP="00AA6B7F">
            <w:pPr>
              <w:pStyle w:val="Heading5"/>
            </w:pPr>
            <w:r>
              <w:t>QUESTION 26</w:t>
            </w:r>
          </w:p>
        </w:tc>
        <w:tc>
          <w:tcPr>
            <w:tcW w:w="8071" w:type="dxa"/>
          </w:tcPr>
          <w:p w14:paraId="4FCA38D9" w14:textId="77777777" w:rsidR="00935236" w:rsidRDefault="00935236" w:rsidP="00AA6B7F">
            <w:pPr>
              <w:pStyle w:val="Introductiontext"/>
            </w:pPr>
            <w:r>
              <w:t>Do you foresee any challenges with particular aspects of the approach</w:t>
            </w:r>
          </w:p>
          <w:p w14:paraId="1BF3B879" w14:textId="77777777" w:rsidR="00935236" w:rsidRDefault="00935236" w:rsidP="00AA6B7F">
            <w:pPr>
              <w:pStyle w:val="Introductiontext"/>
            </w:pPr>
            <w:r>
              <w:t>proposed to administering the relief? If so, how might these be overcome?</w:t>
            </w:r>
          </w:p>
          <w:p w14:paraId="6FF8B30D" w14:textId="77777777" w:rsidR="00935236" w:rsidRDefault="00935236" w:rsidP="00AA6B7F"/>
          <w:p w14:paraId="7843BB64" w14:textId="0F9B18DF" w:rsidR="00935236" w:rsidRDefault="242DC84D" w:rsidP="6B02C682">
            <w:r w:rsidRPr="6B02C682">
              <w:rPr>
                <w:rFonts w:ascii="Open Sans Light" w:eastAsia="Open Sans Light" w:hAnsi="Open Sans Light" w:cs="Open Sans Light"/>
              </w:rPr>
              <w:t>No significant challenges are identified at this stage. Provided that clear guidance and resourcing are in place, the administrative framework appears workable.</w:t>
            </w:r>
          </w:p>
          <w:p w14:paraId="32F9E34C" w14:textId="0D6CD1AC" w:rsidR="00935236" w:rsidRDefault="00935236" w:rsidP="00AA6B7F"/>
          <w:p w14:paraId="6A60904A" w14:textId="2294E6B4" w:rsidR="6B02C682" w:rsidRDefault="6B02C682" w:rsidP="6B02C682">
            <w:pPr>
              <w:pStyle w:val="BodyText"/>
              <w:rPr>
                <w:b/>
                <w:bCs/>
                <w:sz w:val="22"/>
                <w:szCs w:val="22"/>
                <w:u w:val="single"/>
              </w:rPr>
            </w:pPr>
          </w:p>
          <w:p w14:paraId="3791B1E7" w14:textId="77777777" w:rsidR="00935236" w:rsidRDefault="00935236" w:rsidP="00AA6B7F">
            <w:pPr>
              <w:pStyle w:val="BodyText"/>
              <w:rPr>
                <w:b/>
                <w:bCs/>
                <w:sz w:val="22"/>
                <w:szCs w:val="22"/>
                <w:u w:val="single"/>
              </w:rPr>
            </w:pPr>
            <w:r w:rsidRPr="7084E50A">
              <w:rPr>
                <w:b/>
                <w:bCs/>
                <w:sz w:val="22"/>
                <w:szCs w:val="22"/>
                <w:u w:val="single"/>
              </w:rPr>
              <w:t>Section 6: Implementation</w:t>
            </w:r>
          </w:p>
          <w:p w14:paraId="6B62B5D8" w14:textId="77777777" w:rsidR="00935236" w:rsidRDefault="00935236" w:rsidP="00AA6B7F"/>
          <w:p w14:paraId="5BEAED2D" w14:textId="77777777" w:rsidR="00935236" w:rsidRDefault="00935236" w:rsidP="00AA6B7F"/>
        </w:tc>
      </w:tr>
      <w:tr w:rsidR="00935236" w14:paraId="77C94812" w14:textId="77777777" w:rsidTr="6B02C682">
        <w:trPr>
          <w:trHeight w:val="300"/>
        </w:trPr>
        <w:tc>
          <w:tcPr>
            <w:tcW w:w="1515" w:type="dxa"/>
          </w:tcPr>
          <w:p w14:paraId="4926B07F" w14:textId="6FA5F306" w:rsidR="00935236" w:rsidRDefault="00935236" w:rsidP="00AA6B7F">
            <w:pPr>
              <w:pStyle w:val="Heading5"/>
            </w:pPr>
            <w:r>
              <w:t>QUESTION 27</w:t>
            </w:r>
          </w:p>
        </w:tc>
        <w:tc>
          <w:tcPr>
            <w:tcW w:w="8071" w:type="dxa"/>
          </w:tcPr>
          <w:p w14:paraId="4C692AE9" w14:textId="77777777" w:rsidR="00935236" w:rsidRDefault="00935236" w:rsidP="00AA6B7F">
            <w:pPr>
              <w:pStyle w:val="Introductiontext"/>
            </w:pPr>
            <w:r>
              <w:t>Do you foresee any challenges with the proposed implementation</w:t>
            </w:r>
          </w:p>
          <w:p w14:paraId="799FFEB0" w14:textId="77777777" w:rsidR="00935236" w:rsidRDefault="00935236" w:rsidP="00AA6B7F">
            <w:pPr>
              <w:pStyle w:val="Introductiontext"/>
            </w:pPr>
            <w:r>
              <w:t>process?</w:t>
            </w:r>
          </w:p>
          <w:p w14:paraId="09FAA22C" w14:textId="77777777" w:rsidR="00935236" w:rsidRDefault="00935236" w:rsidP="00AA6B7F"/>
          <w:p w14:paraId="54CDCA4E" w14:textId="77777777" w:rsidR="00F92B30" w:rsidRDefault="613554A1" w:rsidP="6B02C682">
            <w:pPr>
              <w:rPr>
                <w:rFonts w:ascii="Open Sans Light" w:eastAsia="Open Sans Light" w:hAnsi="Open Sans Light" w:cs="Open Sans Light"/>
              </w:rPr>
            </w:pPr>
            <w:r w:rsidRPr="6B02C682">
              <w:rPr>
                <w:rFonts w:ascii="Open Sans Light" w:eastAsia="Open Sans Light" w:hAnsi="Open Sans Light" w:cs="Open Sans Light"/>
              </w:rPr>
              <w:t>The primary challenge relates to the interaction between the proposed CIL relief and wider planning policy reform, particularly the forthcoming NPPF. If changes to Green Belt, MOL or density policy are introduced during or shortly after implementation, there is a risk of policy conflict or uncertainty.</w:t>
            </w:r>
            <w:r w:rsidR="00F92B30">
              <w:rPr>
                <w:rFonts w:ascii="Open Sans Light" w:eastAsia="Open Sans Light" w:hAnsi="Open Sans Light" w:cs="Open Sans Light"/>
              </w:rPr>
              <w:t xml:space="preserve"> </w:t>
            </w:r>
          </w:p>
          <w:p w14:paraId="3272AD09" w14:textId="77777777" w:rsidR="00F92B30" w:rsidRDefault="00F92B30" w:rsidP="6B02C682">
            <w:pPr>
              <w:rPr>
                <w:rFonts w:ascii="Open Sans Light" w:eastAsia="Open Sans Light" w:hAnsi="Open Sans Light" w:cs="Open Sans Light"/>
              </w:rPr>
            </w:pPr>
          </w:p>
          <w:p w14:paraId="10AE5DE1" w14:textId="3E5DE04D" w:rsidR="613554A1" w:rsidRDefault="00F92B30" w:rsidP="6B02C682">
            <w:pPr>
              <w:rPr>
                <w:rFonts w:ascii="Open Sans Light" w:eastAsia="Open Sans Light" w:hAnsi="Open Sans Light" w:cs="Open Sans Light"/>
              </w:rPr>
            </w:pPr>
            <w:r w:rsidRPr="00F92B30">
              <w:rPr>
                <w:rFonts w:ascii="Open Sans Light" w:eastAsia="Open Sans Light" w:hAnsi="Open Sans Light" w:cs="Open Sans Light"/>
              </w:rPr>
              <w:t>A further issue is that the relief cannot apply retrospectively to schemes that have already commenced, creating perverse incentives for currently consented but unimplemented schemes to delay implementation until the amended regulations are in force.</w:t>
            </w:r>
          </w:p>
          <w:p w14:paraId="31717EA4" w14:textId="7E11AD43" w:rsidR="613554A1" w:rsidRDefault="613554A1" w:rsidP="6B02C682">
            <w:pPr>
              <w:spacing w:before="240" w:after="240"/>
              <w:rPr>
                <w:rFonts w:ascii="Open Sans Light" w:eastAsia="Open Sans Light" w:hAnsi="Open Sans Light" w:cs="Open Sans Light"/>
              </w:rPr>
            </w:pPr>
            <w:r w:rsidRPr="6B02C682">
              <w:rPr>
                <w:rFonts w:ascii="Open Sans Light" w:eastAsia="Open Sans Light" w:hAnsi="Open Sans Light" w:cs="Open Sans Light"/>
              </w:rPr>
              <w:t>To mitigate this, Government should clearly set out how the relief will operate alongside any national policy changes and ensure that implementation guidance is updated promptly where required.</w:t>
            </w:r>
          </w:p>
          <w:p w14:paraId="0C9766AE" w14:textId="77777777" w:rsidR="00935236" w:rsidRDefault="00935236" w:rsidP="00AA6B7F">
            <w:pPr>
              <w:pStyle w:val="Introductiontext"/>
            </w:pPr>
          </w:p>
          <w:p w14:paraId="13C4965E" w14:textId="77777777" w:rsidR="00935236" w:rsidRDefault="00935236" w:rsidP="00AA6B7F"/>
        </w:tc>
      </w:tr>
      <w:tr w:rsidR="00935236" w14:paraId="6F7AF51E" w14:textId="77777777" w:rsidTr="6B02C682">
        <w:trPr>
          <w:trHeight w:val="300"/>
        </w:trPr>
        <w:tc>
          <w:tcPr>
            <w:tcW w:w="1515" w:type="dxa"/>
          </w:tcPr>
          <w:p w14:paraId="7FDED604" w14:textId="7CA037AD" w:rsidR="00935236" w:rsidRDefault="00935236" w:rsidP="00AA6B7F">
            <w:pPr>
              <w:pStyle w:val="Heading5"/>
            </w:pPr>
            <w:r>
              <w:t>QUESTION 28</w:t>
            </w:r>
          </w:p>
        </w:tc>
        <w:tc>
          <w:tcPr>
            <w:tcW w:w="8071" w:type="dxa"/>
          </w:tcPr>
          <w:p w14:paraId="2984DCD0" w14:textId="77777777" w:rsidR="00935236" w:rsidRDefault="00935236" w:rsidP="00AA6B7F">
            <w:pPr>
              <w:pStyle w:val="Introductiontext"/>
            </w:pPr>
            <w:r>
              <w:t>The Government welcomes any views on other ways that developers</w:t>
            </w:r>
          </w:p>
          <w:p w14:paraId="6917DFDE" w14:textId="77777777" w:rsidR="00935236" w:rsidRDefault="00935236" w:rsidP="00AA6B7F">
            <w:pPr>
              <w:pStyle w:val="Introductiontext"/>
            </w:pPr>
            <w:r>
              <w:t>could be supported through the CIL system to bring forward developments.</w:t>
            </w:r>
          </w:p>
          <w:p w14:paraId="53F42C5A" w14:textId="77777777" w:rsidR="00935236" w:rsidRDefault="00935236" w:rsidP="00AA6B7F">
            <w:pPr>
              <w:pStyle w:val="BodyText"/>
            </w:pPr>
          </w:p>
          <w:p w14:paraId="7A5BB2A2" w14:textId="11B0BADA" w:rsidR="00935236" w:rsidRDefault="58886476" w:rsidP="6B02C682">
            <w:pPr>
              <w:spacing w:before="240" w:after="240"/>
              <w:rPr>
                <w:rFonts w:ascii="Open Sans Light" w:eastAsia="Open Sans Light" w:hAnsi="Open Sans Light" w:cs="Open Sans Light"/>
              </w:rPr>
            </w:pPr>
            <w:r w:rsidRPr="6B02C682">
              <w:rPr>
                <w:rFonts w:ascii="Open Sans Light" w:eastAsia="Open Sans Light" w:hAnsi="Open Sans Light" w:cs="Open Sans Light"/>
              </w:rPr>
              <w:t xml:space="preserve">The BPF encourages Government to consider a broader review of CIL </w:t>
            </w:r>
            <w:r w:rsidR="000E6069">
              <w:rPr>
                <w:rFonts w:ascii="Open Sans Light" w:eastAsia="Open Sans Light" w:hAnsi="Open Sans Light" w:cs="Open Sans Light"/>
              </w:rPr>
              <w:t>to ensure it supports housing delivery effectively and reflects current market conditions. Key areas for consideration include:</w:t>
            </w:r>
          </w:p>
          <w:p w14:paraId="1D767ABF" w14:textId="2134A5D7" w:rsidR="00935236" w:rsidRDefault="58886476" w:rsidP="6B02C682">
            <w:pPr>
              <w:pStyle w:val="ListParagraph"/>
              <w:numPr>
                <w:ilvl w:val="0"/>
                <w:numId w:val="1"/>
              </w:numPr>
              <w:spacing w:before="240" w:after="240"/>
              <w:rPr>
                <w:rFonts w:ascii="Open Sans Light" w:eastAsia="Open Sans Light" w:hAnsi="Open Sans Light" w:cs="Open Sans Light"/>
                <w:color w:val="58626E" w:themeColor="text2"/>
                <w:sz w:val="20"/>
                <w:szCs w:val="20"/>
              </w:rPr>
            </w:pPr>
            <w:r w:rsidRPr="6B02C682">
              <w:rPr>
                <w:rFonts w:ascii="Open Sans Light" w:eastAsia="Open Sans Light" w:hAnsi="Open Sans Light" w:cs="Open Sans Light"/>
                <w:color w:val="58626E" w:themeColor="text2"/>
                <w:sz w:val="20"/>
                <w:szCs w:val="20"/>
              </w:rPr>
              <w:t>Reviewing borough-level CIL schedules to ensure they reflect current market conditions.</w:t>
            </w:r>
          </w:p>
          <w:p w14:paraId="34FF9AFE" w14:textId="0B4A09FF" w:rsidR="00935236" w:rsidRDefault="58886476" w:rsidP="6B02C682">
            <w:pPr>
              <w:pStyle w:val="ListParagraph"/>
              <w:numPr>
                <w:ilvl w:val="0"/>
                <w:numId w:val="1"/>
              </w:numPr>
              <w:spacing w:before="240" w:after="240"/>
              <w:rPr>
                <w:rFonts w:ascii="Open Sans Light" w:eastAsia="Open Sans Light" w:hAnsi="Open Sans Light" w:cs="Open Sans Light"/>
                <w:color w:val="58626E" w:themeColor="text2"/>
                <w:sz w:val="20"/>
                <w:szCs w:val="20"/>
              </w:rPr>
            </w:pPr>
            <w:r w:rsidRPr="6B02C682">
              <w:rPr>
                <w:rFonts w:ascii="Open Sans Light" w:eastAsia="Open Sans Light" w:hAnsi="Open Sans Light" w:cs="Open Sans Light"/>
                <w:color w:val="58626E" w:themeColor="text2"/>
                <w:sz w:val="20"/>
                <w:szCs w:val="20"/>
              </w:rPr>
              <w:t>Targeted relief or exemptions for SME builders, who are often most sensitive to upfront costs and deliver homes quickly.</w:t>
            </w:r>
          </w:p>
          <w:p w14:paraId="6E84F701" w14:textId="20E76555" w:rsidR="00A8614E" w:rsidRPr="00E06D78" w:rsidRDefault="00A8614E" w:rsidP="00E06D78">
            <w:pPr>
              <w:pStyle w:val="ListParagraph"/>
              <w:numPr>
                <w:ilvl w:val="0"/>
                <w:numId w:val="1"/>
              </w:numPr>
              <w:shd w:val="clear" w:color="auto" w:fill="FFFFFF" w:themeFill="background1"/>
              <w:spacing w:before="200" w:after="200"/>
              <w:rPr>
                <w:rFonts w:ascii="Open Sans Light" w:eastAsia="Open Sans Light" w:hAnsi="Open Sans Light" w:cs="Open Sans Light"/>
                <w:color w:val="58626E" w:themeColor="text2"/>
                <w:sz w:val="20"/>
                <w:szCs w:val="20"/>
              </w:rPr>
            </w:pPr>
            <w:r>
              <w:rPr>
                <w:rFonts w:ascii="Open Sans Light" w:eastAsia="Open Sans Light" w:hAnsi="Open Sans Light" w:cs="Open Sans Light"/>
                <w:color w:val="58626E" w:themeColor="text2"/>
                <w:sz w:val="20"/>
                <w:szCs w:val="20"/>
              </w:rPr>
              <w:t>Amending CIL regulations to allow g</w:t>
            </w:r>
            <w:r w:rsidRPr="6B02C682">
              <w:rPr>
                <w:rFonts w:ascii="Open Sans Light" w:eastAsia="Open Sans Light" w:hAnsi="Open Sans Light" w:cs="Open Sans Light"/>
                <w:color w:val="58626E" w:themeColor="text2"/>
                <w:sz w:val="20"/>
                <w:szCs w:val="20"/>
              </w:rPr>
              <w:t xml:space="preserve">reater flexibility to convert affordable housing obligations into cash payments where this improves design efficiency and delivery, </w:t>
            </w:r>
            <w:r>
              <w:rPr>
                <w:rFonts w:ascii="Open Sans Light" w:eastAsia="Open Sans Light" w:hAnsi="Open Sans Light" w:cs="Open Sans Light"/>
                <w:color w:val="58626E" w:themeColor="text2"/>
                <w:sz w:val="20"/>
                <w:szCs w:val="20"/>
              </w:rPr>
              <w:t>without increasing CIL liability.</w:t>
            </w:r>
          </w:p>
          <w:p w14:paraId="30E62CA2" w14:textId="0ADC56CF" w:rsidR="6B02C682" w:rsidRDefault="6B02C682" w:rsidP="6B02C682">
            <w:pPr>
              <w:pStyle w:val="BodyText"/>
              <w:rPr>
                <w:b/>
                <w:bCs/>
                <w:sz w:val="22"/>
                <w:szCs w:val="22"/>
                <w:u w:val="single"/>
              </w:rPr>
            </w:pPr>
          </w:p>
          <w:p w14:paraId="60611B2A" w14:textId="77777777" w:rsidR="00935236" w:rsidRDefault="00935236" w:rsidP="00AA6B7F">
            <w:pPr>
              <w:pStyle w:val="BodyText"/>
              <w:rPr>
                <w:b/>
                <w:bCs/>
                <w:sz w:val="22"/>
                <w:szCs w:val="22"/>
                <w:u w:val="single"/>
              </w:rPr>
            </w:pPr>
            <w:r w:rsidRPr="7084E50A">
              <w:rPr>
                <w:b/>
                <w:bCs/>
                <w:sz w:val="22"/>
                <w:szCs w:val="22"/>
                <w:u w:val="single"/>
              </w:rPr>
              <w:t>Part II</w:t>
            </w:r>
          </w:p>
          <w:p w14:paraId="085BF872" w14:textId="77777777" w:rsidR="00935236" w:rsidRDefault="00935236" w:rsidP="00AA6B7F">
            <w:pPr>
              <w:pStyle w:val="BodyText"/>
              <w:rPr>
                <w:b/>
                <w:bCs/>
                <w:sz w:val="22"/>
                <w:szCs w:val="22"/>
                <w:u w:val="single"/>
              </w:rPr>
            </w:pPr>
          </w:p>
          <w:p w14:paraId="4B56ED41" w14:textId="77777777" w:rsidR="00935236" w:rsidRDefault="00935236" w:rsidP="00AA6B7F">
            <w:pPr>
              <w:pStyle w:val="BodyText"/>
              <w:rPr>
                <w:b/>
                <w:bCs/>
                <w:sz w:val="22"/>
                <w:szCs w:val="22"/>
                <w:u w:val="single"/>
              </w:rPr>
            </w:pPr>
            <w:r w:rsidRPr="7084E50A">
              <w:rPr>
                <w:b/>
                <w:bCs/>
                <w:sz w:val="22"/>
                <w:szCs w:val="22"/>
                <w:u w:val="single"/>
              </w:rPr>
              <w:t>Section 8: PSI applications framework</w:t>
            </w:r>
          </w:p>
          <w:p w14:paraId="60D8A729" w14:textId="77777777" w:rsidR="00935236" w:rsidRDefault="00935236" w:rsidP="00AA6B7F"/>
          <w:p w14:paraId="39438CBD" w14:textId="77777777" w:rsidR="00935236" w:rsidRDefault="00935236" w:rsidP="00AA6B7F"/>
        </w:tc>
      </w:tr>
      <w:tr w:rsidR="00935236" w14:paraId="00C8EB64" w14:textId="77777777" w:rsidTr="6B02C682">
        <w:trPr>
          <w:trHeight w:val="300"/>
        </w:trPr>
        <w:tc>
          <w:tcPr>
            <w:tcW w:w="1515" w:type="dxa"/>
          </w:tcPr>
          <w:p w14:paraId="5AAD7182" w14:textId="77777777" w:rsidR="00935236" w:rsidRDefault="00935236" w:rsidP="00AA6B7F">
            <w:pPr>
              <w:pStyle w:val="Heading5"/>
            </w:pPr>
            <w:r>
              <w:t>QUESTION 29</w:t>
            </w:r>
          </w:p>
          <w:p w14:paraId="5B1A7DA0" w14:textId="7291B3D9" w:rsidR="00935236" w:rsidRDefault="00935236" w:rsidP="00AA6B7F">
            <w:pPr>
              <w:pStyle w:val="Heading5"/>
            </w:pPr>
          </w:p>
        </w:tc>
        <w:tc>
          <w:tcPr>
            <w:tcW w:w="8071" w:type="dxa"/>
          </w:tcPr>
          <w:p w14:paraId="4AE874CC" w14:textId="77777777" w:rsidR="00935236" w:rsidRDefault="00935236" w:rsidP="00AA6B7F">
            <w:pPr>
              <w:pStyle w:val="Introductiontext"/>
            </w:pPr>
            <w:r>
              <w:t>Do you agree with the new PSI category of 50 homes or</w:t>
            </w:r>
          </w:p>
          <w:p w14:paraId="52D59784" w14:textId="77777777" w:rsidR="00935236" w:rsidRDefault="00935236" w:rsidP="00AA6B7F">
            <w:pPr>
              <w:pStyle w:val="Introductiontext"/>
            </w:pPr>
            <w:r>
              <w:t>more? Please state why.</w:t>
            </w:r>
          </w:p>
          <w:p w14:paraId="672281E3" w14:textId="77777777" w:rsidR="00935236" w:rsidRDefault="00935236" w:rsidP="00AA6B7F"/>
          <w:p w14:paraId="22B02BA5" w14:textId="687205EF" w:rsidR="00935236" w:rsidRDefault="7F86C4D7" w:rsidP="6B02C682">
            <w:pPr>
              <w:rPr>
                <w:rFonts w:ascii="Open Sans ExtraBold" w:eastAsia="Open Sans ExtraBold" w:hAnsi="Open Sans ExtraBold" w:cs="Open Sans ExtraBold"/>
                <w:sz w:val="18"/>
                <w:szCs w:val="18"/>
              </w:rPr>
            </w:pPr>
            <w:r w:rsidRPr="6B02C682">
              <w:rPr>
                <w:rFonts w:ascii="Open Sans Light" w:eastAsia="Open Sans Light" w:hAnsi="Open Sans Light" w:cs="Open Sans Light"/>
              </w:rPr>
              <w:t>Yes. The BPF supports the introduction of a new PSI category for developments of 50 homes or more. This strikes an appropriate balance between enabling strategic oversight and avoiding unnecessary procedural burden for schemes that are not of strategic scale.</w:t>
            </w:r>
          </w:p>
          <w:p w14:paraId="31DDC0A0" w14:textId="2527FABD" w:rsidR="00935236" w:rsidRDefault="00935236" w:rsidP="6B02C682">
            <w:pPr>
              <w:rPr>
                <w:rStyle w:val="Heading6Char"/>
              </w:rPr>
            </w:pPr>
          </w:p>
          <w:p w14:paraId="233387D4" w14:textId="77777777" w:rsidR="00935236" w:rsidRDefault="00935236" w:rsidP="00AA6B7F">
            <w:pPr>
              <w:pStyle w:val="Heading6"/>
            </w:pPr>
          </w:p>
          <w:p w14:paraId="12206B81" w14:textId="77777777" w:rsidR="00935236" w:rsidRDefault="00935236" w:rsidP="00AA6B7F"/>
        </w:tc>
      </w:tr>
      <w:tr w:rsidR="00935236" w14:paraId="25469654" w14:textId="77777777" w:rsidTr="6B02C682">
        <w:trPr>
          <w:trHeight w:val="300"/>
        </w:trPr>
        <w:tc>
          <w:tcPr>
            <w:tcW w:w="1515" w:type="dxa"/>
          </w:tcPr>
          <w:p w14:paraId="36FAFF4B" w14:textId="0AEE915B" w:rsidR="00935236" w:rsidRDefault="00935236" w:rsidP="00AA6B7F">
            <w:pPr>
              <w:pStyle w:val="Heading5"/>
            </w:pPr>
            <w:r>
              <w:t>QUESTION 30</w:t>
            </w:r>
          </w:p>
        </w:tc>
        <w:tc>
          <w:tcPr>
            <w:tcW w:w="8071" w:type="dxa"/>
          </w:tcPr>
          <w:p w14:paraId="7D4B1284" w14:textId="77777777" w:rsidR="00935236" w:rsidRDefault="00935236" w:rsidP="00AA6B7F">
            <w:pPr>
              <w:pStyle w:val="Introductiontext"/>
            </w:pPr>
            <w:r>
              <w:t>Do you agree with the streamlined process for the new PSI category?</w:t>
            </w:r>
          </w:p>
          <w:p w14:paraId="0E9032BA" w14:textId="4357CC24" w:rsidR="00935236" w:rsidRDefault="00935236" w:rsidP="6B02C682">
            <w:pPr>
              <w:pStyle w:val="Introductiontext"/>
            </w:pPr>
            <w:r>
              <w:t>Please state why.</w:t>
            </w:r>
          </w:p>
          <w:p w14:paraId="0965B8D8" w14:textId="4C66019B" w:rsidR="00935236" w:rsidRDefault="5F1DAB66" w:rsidP="6B02C682">
            <w:pPr>
              <w:spacing w:before="240" w:after="240"/>
              <w:rPr>
                <w:rFonts w:ascii="Open Sans Light" w:eastAsia="Open Sans Light" w:hAnsi="Open Sans Light" w:cs="Open Sans Light"/>
              </w:rPr>
            </w:pPr>
            <w:r w:rsidRPr="6B02C682">
              <w:rPr>
                <w:rFonts w:ascii="Open Sans Light" w:eastAsia="Open Sans Light" w:hAnsi="Open Sans Light" w:cs="Open Sans Light"/>
              </w:rPr>
              <w:t>Yes. The streamlined process is proportionate and pragmatic. Allowing the Mayor to be notified only where refusal is proposed ensures intervention is targeted and avoids delays associated with the full Stage 1 process.</w:t>
            </w:r>
          </w:p>
          <w:p w14:paraId="7EC34BF9" w14:textId="1C69620C" w:rsidR="00935236" w:rsidRDefault="5F1DAB66" w:rsidP="6B02C682">
            <w:pPr>
              <w:spacing w:before="240" w:after="240"/>
              <w:rPr>
                <w:rFonts w:ascii="Open Sans Light" w:eastAsia="Open Sans Light" w:hAnsi="Open Sans Light" w:cs="Open Sans Light"/>
              </w:rPr>
            </w:pPr>
            <w:r w:rsidRPr="6B02C682">
              <w:rPr>
                <w:rFonts w:ascii="Open Sans Light" w:eastAsia="Open Sans Light" w:hAnsi="Open Sans Light" w:cs="Open Sans Light"/>
              </w:rPr>
              <w:t>However, the BPF notes that the effectiveness of this approach will depend on adequate resourcing and clear timelines for Mayoral decision-making.</w:t>
            </w:r>
          </w:p>
        </w:tc>
      </w:tr>
      <w:tr w:rsidR="00935236" w14:paraId="4A4BE882" w14:textId="77777777" w:rsidTr="6B02C682">
        <w:trPr>
          <w:trHeight w:val="300"/>
        </w:trPr>
        <w:tc>
          <w:tcPr>
            <w:tcW w:w="1515" w:type="dxa"/>
          </w:tcPr>
          <w:p w14:paraId="04DCEDD7" w14:textId="3901BC88" w:rsidR="00935236" w:rsidRDefault="6752BB2C" w:rsidP="6752BB2C">
            <w:pPr>
              <w:pStyle w:val="Heading5"/>
            </w:pPr>
            <w:r>
              <w:t>QUESTION 31</w:t>
            </w:r>
          </w:p>
        </w:tc>
        <w:tc>
          <w:tcPr>
            <w:tcW w:w="8071" w:type="dxa"/>
          </w:tcPr>
          <w:p w14:paraId="12AA7E42" w14:textId="77777777" w:rsidR="00935236" w:rsidRDefault="00935236" w:rsidP="00AA6B7F">
            <w:pPr>
              <w:pStyle w:val="Introductiontext"/>
            </w:pPr>
            <w:r>
              <w:t>Do you agree that development in Category 3D of the Schedule of the</w:t>
            </w:r>
          </w:p>
          <w:p w14:paraId="31BA5D14" w14:textId="77777777" w:rsidR="00935236" w:rsidRDefault="00935236" w:rsidP="00AA6B7F">
            <w:pPr>
              <w:pStyle w:val="Introductiontext"/>
            </w:pPr>
            <w:r>
              <w:t>Mayor of London Order 2008 should be brought into scope of the Mayor’s call-in power? Please state why.</w:t>
            </w:r>
          </w:p>
          <w:p w14:paraId="55919D75" w14:textId="77777777" w:rsidR="00935236" w:rsidRDefault="00935236" w:rsidP="00AA6B7F"/>
          <w:p w14:paraId="4E527F80" w14:textId="77777777" w:rsidR="00935236" w:rsidRDefault="00935236" w:rsidP="00AA6B7F"/>
          <w:p w14:paraId="6590D073" w14:textId="799B9080" w:rsidR="00935236" w:rsidRDefault="118B17A1" w:rsidP="6B02C682">
            <w:r w:rsidRPr="6B02C682">
              <w:rPr>
                <w:rFonts w:ascii="Open Sans Light" w:eastAsia="Open Sans Light" w:hAnsi="Open Sans Light" w:cs="Open Sans Light"/>
              </w:rPr>
              <w:t>Yes. Extending call-in powers to Green Belt and MOL applications strengthens strategic oversight while retaining existing policy protections. This approach supports better design quality, appropriate density and affordable housing outcomes on suitable sites without weakening environmental safeguards.</w:t>
            </w:r>
          </w:p>
          <w:p w14:paraId="5C70118E" w14:textId="0945BAC5" w:rsidR="00935236" w:rsidRDefault="00935236" w:rsidP="00AA6B7F"/>
          <w:p w14:paraId="525E5ADD" w14:textId="77777777" w:rsidR="00935236" w:rsidRDefault="00935236" w:rsidP="00AA6B7F"/>
          <w:p w14:paraId="08D0A7CE" w14:textId="77777777" w:rsidR="00935236" w:rsidRDefault="00935236" w:rsidP="00AA6B7F">
            <w:pPr>
              <w:pStyle w:val="BodyText"/>
              <w:rPr>
                <w:b/>
                <w:bCs/>
                <w:sz w:val="22"/>
                <w:szCs w:val="22"/>
                <w:u w:val="single"/>
              </w:rPr>
            </w:pPr>
            <w:r w:rsidRPr="7084E50A">
              <w:rPr>
                <w:b/>
                <w:bCs/>
                <w:sz w:val="22"/>
                <w:szCs w:val="22"/>
                <w:u w:val="single"/>
              </w:rPr>
              <w:t>Section 9: Public sector equality duty and Environmental Principles</w:t>
            </w:r>
          </w:p>
          <w:p w14:paraId="47C2434E" w14:textId="77777777" w:rsidR="00935236" w:rsidRDefault="00935236" w:rsidP="00AA6B7F"/>
          <w:p w14:paraId="49AE99B7" w14:textId="77777777" w:rsidR="00935236" w:rsidRDefault="00935236" w:rsidP="00AA6B7F">
            <w:pPr>
              <w:pStyle w:val="BodyText"/>
            </w:pPr>
          </w:p>
        </w:tc>
      </w:tr>
      <w:tr w:rsidR="00935236" w14:paraId="2EE4C57E" w14:textId="77777777" w:rsidTr="6B02C682">
        <w:trPr>
          <w:trHeight w:val="300"/>
        </w:trPr>
        <w:tc>
          <w:tcPr>
            <w:tcW w:w="1515" w:type="dxa"/>
          </w:tcPr>
          <w:p w14:paraId="594BD7F0" w14:textId="77777777" w:rsidR="00935236" w:rsidRDefault="00935236" w:rsidP="00AA6B7F">
            <w:pPr>
              <w:pStyle w:val="Heading5"/>
            </w:pPr>
            <w:r>
              <w:t>QUESTION 32</w:t>
            </w:r>
          </w:p>
          <w:p w14:paraId="5D2393B3" w14:textId="7156895B" w:rsidR="00935236" w:rsidRDefault="00935236" w:rsidP="00AA6B7F">
            <w:pPr>
              <w:pStyle w:val="Heading5"/>
            </w:pPr>
          </w:p>
        </w:tc>
        <w:tc>
          <w:tcPr>
            <w:tcW w:w="8071" w:type="dxa"/>
          </w:tcPr>
          <w:p w14:paraId="40D6F189" w14:textId="77777777" w:rsidR="00935236" w:rsidRDefault="00935236" w:rsidP="00AA6B7F">
            <w:pPr>
              <w:pStyle w:val="Introductiontext"/>
            </w:pPr>
            <w:r>
              <w:t>Do you have any comments on any potential impacts for you, or the</w:t>
            </w:r>
          </w:p>
          <w:p w14:paraId="4F190DD9" w14:textId="06736268" w:rsidR="00935236" w:rsidRDefault="00935236" w:rsidP="00AA6B7F">
            <w:pPr>
              <w:pStyle w:val="Introductiontext"/>
            </w:pPr>
            <w:r>
              <w:t>group or business you represent, and on anyone with a relevant protected</w:t>
            </w:r>
            <w:r w:rsidR="6AD8AAD9">
              <w:t xml:space="preserve"> </w:t>
            </w:r>
            <w:r>
              <w:t>characteristic that might arise under the Public Sector Equality Duty as a result of the proposals in this document? Please provide details.</w:t>
            </w:r>
          </w:p>
          <w:p w14:paraId="0F351D12" w14:textId="77777777" w:rsidR="00935236" w:rsidRDefault="00935236" w:rsidP="00AA6B7F"/>
          <w:p w14:paraId="245B8003" w14:textId="28050524" w:rsidR="00935236" w:rsidRDefault="603AD1D9" w:rsidP="6B02C682">
            <w:r w:rsidRPr="6B02C682">
              <w:rPr>
                <w:rFonts w:ascii="Open Sans Light" w:eastAsia="Open Sans Light" w:hAnsi="Open Sans Light" w:cs="Open Sans Light"/>
              </w:rPr>
              <w:t>The BPF does not identify any negative impacts on protected groups arising from these proposals. Increased housing delivery—particularly affordable housing—has the potential to deliver positive social outcomes and improve access to housing for groups who are currently disproportionately affected by housing shortages.</w:t>
            </w:r>
          </w:p>
          <w:p w14:paraId="021FE70D" w14:textId="3764E064" w:rsidR="00935236" w:rsidRDefault="00935236" w:rsidP="6B02C682"/>
          <w:p w14:paraId="774F0E4E" w14:textId="77777777" w:rsidR="00935236" w:rsidRDefault="00935236" w:rsidP="00AA6B7F">
            <w:pPr>
              <w:pStyle w:val="BodyText"/>
            </w:pPr>
          </w:p>
        </w:tc>
      </w:tr>
      <w:tr w:rsidR="00935236" w14:paraId="66FDA093" w14:textId="77777777" w:rsidTr="6B02C682">
        <w:trPr>
          <w:trHeight w:val="300"/>
        </w:trPr>
        <w:tc>
          <w:tcPr>
            <w:tcW w:w="1515" w:type="dxa"/>
          </w:tcPr>
          <w:p w14:paraId="2FEF68B1" w14:textId="77777777" w:rsidR="00935236" w:rsidRDefault="00935236" w:rsidP="00AA6B7F">
            <w:pPr>
              <w:pStyle w:val="Heading5"/>
            </w:pPr>
            <w:r>
              <w:t>QUESTION 33</w:t>
            </w:r>
          </w:p>
          <w:p w14:paraId="19792FB1" w14:textId="0E901782" w:rsidR="00935236" w:rsidRDefault="00935236" w:rsidP="00AA6B7F">
            <w:pPr>
              <w:pStyle w:val="Heading5"/>
            </w:pPr>
            <w:r>
              <w:t xml:space="preserve"> </w:t>
            </w:r>
          </w:p>
        </w:tc>
        <w:tc>
          <w:tcPr>
            <w:tcW w:w="8071" w:type="dxa"/>
          </w:tcPr>
          <w:p w14:paraId="48E29B76" w14:textId="77777777" w:rsidR="00935236" w:rsidRDefault="00935236" w:rsidP="00AA6B7F">
            <w:pPr>
              <w:pStyle w:val="Introductiontext"/>
            </w:pPr>
            <w:r>
              <w:t>Is there anything that could be done to mitigate any impact identified? </w:t>
            </w:r>
          </w:p>
          <w:p w14:paraId="3872D16A" w14:textId="77777777" w:rsidR="00935236" w:rsidRDefault="00935236" w:rsidP="00AA6B7F">
            <w:pPr>
              <w:pStyle w:val="BodyText"/>
            </w:pPr>
          </w:p>
          <w:p w14:paraId="41E28C52" w14:textId="6C8B89C8" w:rsidR="00935236" w:rsidRDefault="22D1306C" w:rsidP="6B02C682">
            <w:r w:rsidRPr="6B02C682">
              <w:rPr>
                <w:rFonts w:ascii="Open Sans Light" w:eastAsia="Open Sans Light" w:hAnsi="Open Sans Light" w:cs="Open Sans Light"/>
                <w:color w:val="58616E"/>
              </w:rPr>
              <w:t>No comment.</w:t>
            </w:r>
          </w:p>
          <w:p w14:paraId="27D8974A" w14:textId="476C8DDF" w:rsidR="00935236" w:rsidRDefault="00935236" w:rsidP="6B02C682"/>
          <w:p w14:paraId="0FE889DD" w14:textId="77777777" w:rsidR="00935236" w:rsidRDefault="00935236" w:rsidP="00AA6B7F"/>
        </w:tc>
      </w:tr>
      <w:tr w:rsidR="00935236" w14:paraId="37162F83" w14:textId="77777777" w:rsidTr="6B02C682">
        <w:trPr>
          <w:trHeight w:val="300"/>
        </w:trPr>
        <w:tc>
          <w:tcPr>
            <w:tcW w:w="1515" w:type="dxa"/>
          </w:tcPr>
          <w:p w14:paraId="23C312A9" w14:textId="5A15891A" w:rsidR="00935236" w:rsidRDefault="6752BB2C" w:rsidP="6752BB2C">
            <w:pPr>
              <w:pStyle w:val="Heading5"/>
              <w:rPr>
                <w:sz w:val="16"/>
                <w:szCs w:val="16"/>
              </w:rPr>
            </w:pPr>
            <w:r>
              <w:t>QUESTION 34</w:t>
            </w:r>
          </w:p>
        </w:tc>
        <w:tc>
          <w:tcPr>
            <w:tcW w:w="8071" w:type="dxa"/>
          </w:tcPr>
          <w:p w14:paraId="0739917A" w14:textId="77777777" w:rsidR="00935236" w:rsidRDefault="00935236" w:rsidP="00AA6B7F">
            <w:pPr>
              <w:pStyle w:val="Introductiontext"/>
            </w:pPr>
            <w:r>
              <w:t>Do you have any views on the implications of these proposals for the</w:t>
            </w:r>
          </w:p>
          <w:p w14:paraId="468E9F6E" w14:textId="77777777" w:rsidR="00935236" w:rsidRDefault="00935236" w:rsidP="00AA6B7F">
            <w:pPr>
              <w:pStyle w:val="Introductiontext"/>
            </w:pPr>
            <w:r>
              <w:t>considerations of the 5 environmental principles identified in the Environment Act 2021?</w:t>
            </w:r>
          </w:p>
          <w:p w14:paraId="68871BF2" w14:textId="77777777" w:rsidR="00935236" w:rsidRDefault="00935236" w:rsidP="00AA6B7F">
            <w:pPr>
              <w:pStyle w:val="Heading6"/>
            </w:pPr>
          </w:p>
          <w:p w14:paraId="5A923C0A" w14:textId="2893721B" w:rsidR="00935236" w:rsidRDefault="2A032FE7" w:rsidP="6B02C682">
            <w:r w:rsidRPr="6B02C682">
              <w:rPr>
                <w:rFonts w:ascii="Open Sans Light" w:eastAsia="Open Sans Light" w:hAnsi="Open Sans Light" w:cs="Open Sans Light"/>
              </w:rPr>
              <w:t>The BPF considers that the proposals are broadly consistent with the environmental principles set out in the Environment Act 2021. Provided that planning safeguards relating to land quality, density, transport accessibility and design remain in place, the relief should support more sustainable patterns of development rather than undermine environmental objectives.</w:t>
            </w:r>
          </w:p>
        </w:tc>
      </w:tr>
      <w:tr w:rsidR="00935236" w14:paraId="10E52554" w14:textId="77777777" w:rsidTr="6B02C682">
        <w:trPr>
          <w:trHeight w:val="300"/>
        </w:trPr>
        <w:tc>
          <w:tcPr>
            <w:tcW w:w="1515" w:type="dxa"/>
          </w:tcPr>
          <w:p w14:paraId="7B04BB39" w14:textId="3EB6BE3D" w:rsidR="00935236" w:rsidRDefault="00935236" w:rsidP="00AA6B7F"/>
        </w:tc>
        <w:tc>
          <w:tcPr>
            <w:tcW w:w="8071" w:type="dxa"/>
          </w:tcPr>
          <w:p w14:paraId="38B84969" w14:textId="77777777" w:rsidR="00935236" w:rsidRDefault="00935236" w:rsidP="00AA6B7F"/>
        </w:tc>
      </w:tr>
      <w:tr w:rsidR="00935236" w14:paraId="2EC8C95C" w14:textId="77777777" w:rsidTr="6B02C682">
        <w:trPr>
          <w:trHeight w:val="300"/>
        </w:trPr>
        <w:tc>
          <w:tcPr>
            <w:tcW w:w="1515" w:type="dxa"/>
          </w:tcPr>
          <w:p w14:paraId="41D5B55F" w14:textId="4AD2548A" w:rsidR="00935236" w:rsidRDefault="00935236" w:rsidP="00AA6B7F">
            <w:pPr>
              <w:pStyle w:val="Heading5"/>
            </w:pPr>
          </w:p>
        </w:tc>
        <w:tc>
          <w:tcPr>
            <w:tcW w:w="8071" w:type="dxa"/>
          </w:tcPr>
          <w:p w14:paraId="263DE00B" w14:textId="77777777" w:rsidR="00935236" w:rsidRDefault="00935236" w:rsidP="00AA6B7F"/>
        </w:tc>
      </w:tr>
    </w:tbl>
    <w:p w14:paraId="7B9B49B4" w14:textId="3C26FAE9" w:rsidR="002668A3" w:rsidRPr="00074507" w:rsidRDefault="002668A3" w:rsidP="6B02C682">
      <w:pPr>
        <w:spacing w:line="240" w:lineRule="auto"/>
      </w:pPr>
    </w:p>
    <w:sectPr w:rsidR="002668A3" w:rsidRPr="00074507" w:rsidSect="00ED7135">
      <w:headerReference w:type="first" r:id="rId19"/>
      <w:footerReference w:type="first" r:id="rId20"/>
      <w:pgSz w:w="11906" w:h="16838" w:code="9"/>
      <w:pgMar w:top="2892" w:right="1134" w:bottom="1418" w:left="1134" w:header="680" w:footer="454"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Kate Butler" w:date="2026-01-22T11:23:00Z" w:initials="KB">
    <w:p w14:paraId="4A5A9757" w14:textId="77777777" w:rsidR="001C091A" w:rsidRDefault="000C1B4D" w:rsidP="001C091A">
      <w:pPr>
        <w:pStyle w:val="CommentText"/>
      </w:pPr>
      <w:r>
        <w:rPr>
          <w:rStyle w:val="CommentReference"/>
        </w:rPr>
        <w:annotationRef/>
      </w:r>
      <w:r w:rsidR="001C091A">
        <w:t xml:space="preserve">A lot of this answer is essentially repeated in Q14 - suggest we incorporate / remove the repetitive elements here and have the first sentence add ‘see our response to Q14’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A5A975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ED9A916" w16cex:dateUtc="2026-01-22T11: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A5A9757" w16cid:durableId="4ED9A91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264F9" w14:textId="77777777" w:rsidR="0060645F" w:rsidRDefault="0060645F" w:rsidP="00A042F0">
      <w:pPr>
        <w:spacing w:line="240" w:lineRule="auto"/>
      </w:pPr>
      <w:r>
        <w:separator/>
      </w:r>
    </w:p>
  </w:endnote>
  <w:endnote w:type="continuationSeparator" w:id="0">
    <w:p w14:paraId="5C227DCF" w14:textId="77777777" w:rsidR="0060645F" w:rsidRDefault="0060645F" w:rsidP="00A042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Light">
    <w:charset w:val="00"/>
    <w:family w:val="swiss"/>
    <w:pitch w:val="variable"/>
    <w:sig w:usb0="E00002EF" w:usb1="4000205B" w:usb2="00000028"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Open Sans ExtraBold">
    <w:charset w:val="00"/>
    <w:family w:val="swiss"/>
    <w:pitch w:val="variable"/>
    <w:sig w:usb0="E00002EF" w:usb1="4000205B" w:usb2="00000028" w:usb3="00000000" w:csb0="0000019F" w:csb1="00000000"/>
  </w:font>
  <w:font w:name="MingLiU">
    <w:altName w:val="細明體"/>
    <w:panose1 w:val="02010609000101010101"/>
    <w:charset w:val="88"/>
    <w:family w:val="modern"/>
    <w:pitch w:val="fixed"/>
    <w:sig w:usb0="A00002FF" w:usb1="28CFFCFA" w:usb2="00000016" w:usb3="00000000" w:csb0="00100001" w:csb1="00000000"/>
  </w:font>
  <w:font w:name="Open Sans SemiBold">
    <w:charset w:val="00"/>
    <w:family w:val="swiss"/>
    <w:pitch w:val="variable"/>
    <w:sig w:usb0="E00002EF" w:usb1="4000205B" w:usb2="00000028" w:usb3="00000000" w:csb0="0000019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CCA39" w14:textId="77777777" w:rsidR="0067180B" w:rsidRDefault="00C63A2A">
    <w:pPr>
      <w:pStyle w:val="Footer"/>
    </w:pPr>
    <w:r>
      <w:rPr>
        <w:noProof/>
      </w:rPr>
      <w:drawing>
        <wp:inline distT="0" distB="0" distL="0" distR="0" wp14:anchorId="0F7F99AF" wp14:editId="2D378892">
          <wp:extent cx="2664000" cy="64800"/>
          <wp:effectExtent l="0" t="0" r="317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664000" cy="64800"/>
                  </a:xfrm>
                  <a:prstGeom prst="rect">
                    <a:avLst/>
                  </a:prstGeom>
                </pic:spPr>
              </pic:pic>
            </a:graphicData>
          </a:graphic>
        </wp:inline>
      </w:drawing>
    </w:r>
    <w:r>
      <w:ptab w:relativeTo="margin" w:alignment="right" w:leader="none"/>
    </w:r>
    <w:r>
      <w:rPr>
        <w:noProof/>
      </w:rPr>
      <w:drawing>
        <wp:inline distT="0" distB="0" distL="0" distR="0" wp14:anchorId="467F1325" wp14:editId="140E3E92">
          <wp:extent cx="540000" cy="111600"/>
          <wp:effectExtent l="0" t="0" r="0"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2">
                    <a:extLst>
                      <a:ext uri="{28A0092B-C50C-407E-A947-70E740481C1C}">
                        <a14:useLocalDpi xmlns:a14="http://schemas.microsoft.com/office/drawing/2010/main" val="0"/>
                      </a:ext>
                    </a:extLst>
                  </a:blip>
                  <a:stretch>
                    <a:fillRect/>
                  </a:stretch>
                </pic:blipFill>
                <pic:spPr>
                  <a:xfrm>
                    <a:off x="0" y="0"/>
                    <a:ext cx="540000" cy="1116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E9011" w14:textId="77777777" w:rsidR="00421B06" w:rsidRDefault="00421B06">
    <w:pPr>
      <w:pStyle w:val="Footer"/>
    </w:pPr>
    <w:r>
      <w:rPr>
        <w:noProof/>
      </w:rPr>
      <w:drawing>
        <wp:inline distT="0" distB="0" distL="0" distR="0" wp14:anchorId="6F96AC4D" wp14:editId="025D0787">
          <wp:extent cx="2664000" cy="64800"/>
          <wp:effectExtent l="0" t="0" r="317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664000" cy="64800"/>
                  </a:xfrm>
                  <a:prstGeom prst="rect">
                    <a:avLst/>
                  </a:prstGeom>
                </pic:spPr>
              </pic:pic>
            </a:graphicData>
          </a:graphic>
        </wp:inline>
      </w:drawing>
    </w:r>
    <w:r>
      <w:ptab w:relativeTo="margin" w:alignment="right" w:leader="none"/>
    </w:r>
    <w:r>
      <w:rPr>
        <w:noProof/>
      </w:rPr>
      <w:drawing>
        <wp:inline distT="0" distB="0" distL="0" distR="0" wp14:anchorId="45F67BC4" wp14:editId="1BF6F11D">
          <wp:extent cx="540000" cy="111600"/>
          <wp:effectExtent l="0" t="0" r="0" b="317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2">
                    <a:extLst>
                      <a:ext uri="{28A0092B-C50C-407E-A947-70E740481C1C}">
                        <a14:useLocalDpi xmlns:a14="http://schemas.microsoft.com/office/drawing/2010/main" val="0"/>
                      </a:ext>
                    </a:extLst>
                  </a:blip>
                  <a:stretch>
                    <a:fillRect/>
                  </a:stretch>
                </pic:blipFill>
                <pic:spPr>
                  <a:xfrm>
                    <a:off x="0" y="0"/>
                    <a:ext cx="540000" cy="1116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CF075" w14:textId="77777777" w:rsidR="0060645F" w:rsidRDefault="0060645F" w:rsidP="00A042F0">
      <w:pPr>
        <w:spacing w:line="240" w:lineRule="auto"/>
      </w:pPr>
      <w:r>
        <w:separator/>
      </w:r>
    </w:p>
  </w:footnote>
  <w:footnote w:type="continuationSeparator" w:id="0">
    <w:p w14:paraId="21BE4C17" w14:textId="77777777" w:rsidR="0060645F" w:rsidRDefault="0060645F" w:rsidP="00A042F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FB554" w14:textId="0DF4C407" w:rsidR="0067180B" w:rsidRPr="0067180B" w:rsidRDefault="0067180B" w:rsidP="00ED7135">
    <w:pPr>
      <w:pStyle w:val="Header"/>
      <w:ind w:left="1474"/>
      <w:rPr>
        <w:sz w:val="16"/>
        <w:szCs w:val="16"/>
      </w:rPr>
    </w:pPr>
    <w:r>
      <w:rPr>
        <w:noProof/>
      </w:rPr>
      <w:drawing>
        <wp:anchor distT="0" distB="0" distL="114300" distR="114300" simplePos="0" relativeHeight="251660288" behindDoc="0" locked="1" layoutInCell="1" allowOverlap="1" wp14:anchorId="7B53973D" wp14:editId="50DDF938">
          <wp:simplePos x="0" y="0"/>
          <wp:positionH relativeFrom="column">
            <wp:align>left</wp:align>
          </wp:positionH>
          <wp:positionV relativeFrom="page">
            <wp:posOffset>306070</wp:posOffset>
          </wp:positionV>
          <wp:extent cx="558000" cy="360000"/>
          <wp:effectExtent l="0" t="0" r="0" b="2540"/>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58000" cy="360000"/>
                  </a:xfrm>
                  <a:prstGeom prst="rect">
                    <a:avLst/>
                  </a:prstGeom>
                </pic:spPr>
              </pic:pic>
            </a:graphicData>
          </a:graphic>
          <wp14:sizeRelH relativeFrom="margin">
            <wp14:pctWidth>0</wp14:pctWidth>
          </wp14:sizeRelH>
          <wp14:sizeRelV relativeFrom="margin">
            <wp14:pctHeight>0</wp14:pctHeight>
          </wp14:sizeRelV>
        </wp:anchor>
      </w:drawing>
    </w:r>
    <w:r w:rsidR="00BB5D68">
      <w:fldChar w:fldCharType="begin"/>
    </w:r>
    <w:r w:rsidR="00BB5D68">
      <w:instrText xml:space="preserve"> STYLEREF  "</w:instrText>
    </w:r>
    <w:r w:rsidR="00604FF0">
      <w:instrText>report</w:instrText>
    </w:r>
    <w:r w:rsidR="00BB5D68">
      <w:instrText xml:space="preserve"> title" </w:instrText>
    </w:r>
    <w:r w:rsidR="00BB5D68">
      <w:fldChar w:fldCharType="separate"/>
    </w:r>
    <w:r w:rsidR="000A641E">
      <w:rPr>
        <w:noProof/>
      </w:rPr>
      <w:t>London Emergency Housing Package</w:t>
    </w:r>
    <w:r w:rsidR="00BB5D68">
      <w:rPr>
        <w:noProof/>
      </w:rPr>
      <w:fldChar w:fldCharType="end"/>
    </w:r>
    <w:r w:rsidR="0052322E">
      <w:rPr>
        <w:noProof/>
      </w:rPr>
      <w:t xml:space="preserve"> - </w:t>
    </w:r>
    <w:r w:rsidR="0052322E">
      <w:rPr>
        <w:noProof/>
      </w:rPr>
      <w:fldChar w:fldCharType="begin"/>
    </w:r>
    <w:r w:rsidR="0052322E">
      <w:rPr>
        <w:noProof/>
      </w:rPr>
      <w:instrText xml:space="preserve"> STYLEREF  "Document Name" </w:instrText>
    </w:r>
    <w:r w:rsidR="0052322E">
      <w:rPr>
        <w:noProof/>
      </w:rPr>
      <w:fldChar w:fldCharType="separate"/>
    </w:r>
    <w:r w:rsidR="000A641E">
      <w:rPr>
        <w:noProof/>
      </w:rPr>
      <w:t>Consultation response</w:t>
    </w:r>
    <w:r w:rsidR="0052322E">
      <w:rPr>
        <w:noProof/>
      </w:rPr>
      <w:fldChar w:fldCharType="end"/>
    </w:r>
    <w:r>
      <w:ptab w:relativeTo="margin" w:alignment="right" w:leader="none"/>
    </w:r>
    <w:r w:rsidRPr="0067180B">
      <w:rPr>
        <w:color w:val="58626E" w:themeColor="text2"/>
        <w:sz w:val="16"/>
        <w:szCs w:val="16"/>
      </w:rPr>
      <w:fldChar w:fldCharType="begin"/>
    </w:r>
    <w:r w:rsidRPr="0067180B">
      <w:rPr>
        <w:color w:val="58626E" w:themeColor="text2"/>
        <w:sz w:val="16"/>
        <w:szCs w:val="16"/>
      </w:rPr>
      <w:instrText xml:space="preserve"> PAGE  \* Arabic </w:instrText>
    </w:r>
    <w:r w:rsidRPr="0067180B">
      <w:rPr>
        <w:color w:val="58626E" w:themeColor="text2"/>
        <w:sz w:val="16"/>
        <w:szCs w:val="16"/>
      </w:rPr>
      <w:fldChar w:fldCharType="separate"/>
    </w:r>
    <w:r>
      <w:rPr>
        <w:color w:val="58626E" w:themeColor="text2"/>
        <w:sz w:val="16"/>
        <w:szCs w:val="16"/>
      </w:rPr>
      <w:t>1</w:t>
    </w:r>
    <w:r w:rsidRPr="0067180B">
      <w:rPr>
        <w:color w:val="58626E" w:themeColor="text2"/>
        <w:sz w:val="16"/>
        <w:szCs w:val="16"/>
      </w:rPr>
      <w:fldChar w:fldCharType="end"/>
    </w:r>
  </w:p>
  <w:p w14:paraId="0EEC449D" w14:textId="77777777" w:rsidR="0067180B" w:rsidRPr="0067180B" w:rsidRDefault="00273316" w:rsidP="00ED7135">
    <w:pPr>
      <w:pStyle w:val="Header"/>
      <w:ind w:left="1474"/>
      <w:rPr>
        <w:rFonts w:asciiTheme="majorHAnsi" w:hAnsiTheme="majorHAnsi" w:cstheme="majorHAnsi"/>
      </w:rPr>
    </w:pPr>
    <w:r>
      <w:rPr>
        <w:rFonts w:asciiTheme="majorHAnsi" w:hAnsiTheme="majorHAnsi" w:cstheme="majorHAnsi"/>
        <w:noProof/>
      </w:rPr>
      <w:drawing>
        <wp:inline distT="0" distB="0" distL="0" distR="0" wp14:anchorId="6EAEAF22" wp14:editId="3E81AABB">
          <wp:extent cx="1224000" cy="576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2">
                    <a:extLst>
                      <a:ext uri="{28A0092B-C50C-407E-A947-70E740481C1C}">
                        <a14:useLocalDpi xmlns:a14="http://schemas.microsoft.com/office/drawing/2010/main" val="0"/>
                      </a:ext>
                    </a:extLst>
                  </a:blip>
                  <a:stretch>
                    <a:fillRect/>
                  </a:stretch>
                </pic:blipFill>
                <pic:spPr>
                  <a:xfrm>
                    <a:off x="0" y="0"/>
                    <a:ext cx="1224000" cy="576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5C6CD2" w14:textId="77777777" w:rsidR="00421B06" w:rsidRDefault="00421B06">
    <w:pPr>
      <w:pStyle w:val="Header"/>
    </w:pPr>
    <w:r>
      <w:rPr>
        <w:noProof/>
      </w:rPr>
      <mc:AlternateContent>
        <mc:Choice Requires="wps">
          <w:drawing>
            <wp:anchor distT="0" distB="0" distL="114300" distR="114300" simplePos="0" relativeHeight="251664384" behindDoc="0" locked="1" layoutInCell="1" allowOverlap="1" wp14:anchorId="01832F80" wp14:editId="20C1E76A">
              <wp:simplePos x="0" y="0"/>
              <wp:positionH relativeFrom="page">
                <wp:posOffset>180340</wp:posOffset>
              </wp:positionH>
              <wp:positionV relativeFrom="page">
                <wp:posOffset>180340</wp:posOffset>
              </wp:positionV>
              <wp:extent cx="7200000" cy="10332000"/>
              <wp:effectExtent l="0" t="0" r="1270" b="0"/>
              <wp:wrapNone/>
              <wp:docPr id="2" name="Rectangle 2"/>
              <wp:cNvGraphicFramePr/>
              <a:graphic xmlns:a="http://schemas.openxmlformats.org/drawingml/2006/main">
                <a:graphicData uri="http://schemas.microsoft.com/office/word/2010/wordprocessingShape">
                  <wps:wsp>
                    <wps:cNvSpPr/>
                    <wps:spPr>
                      <a:xfrm>
                        <a:off x="0" y="0"/>
                        <a:ext cx="7200000" cy="103320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3AFEE9" id="Rectangle 2" o:spid="_x0000_s1026" style="position:absolute;margin-left:14.2pt;margin-top:14.2pt;width:566.95pt;height:813.5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" fillcolor="#58626e [3215]" stroked="f" strokeweight="1pt">
              <w10:wrap anchorx="page" anchory="page"/>
              <w10:anchorlock/>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9B1D4" w14:textId="77777777" w:rsidR="00421B06" w:rsidRPr="0067180B" w:rsidRDefault="00421B06">
    <w:pPr>
      <w:pStyle w:val="Header"/>
      <w:rPr>
        <w:sz w:val="16"/>
        <w:szCs w:val="16"/>
      </w:rPr>
    </w:pPr>
    <w:r>
      <w:rPr>
        <w:noProof/>
      </w:rPr>
      <w:drawing>
        <wp:anchor distT="0" distB="0" distL="114300" distR="114300" simplePos="0" relativeHeight="251662336" behindDoc="0" locked="1" layoutInCell="1" allowOverlap="1" wp14:anchorId="49D7A3E7" wp14:editId="70B7A474">
          <wp:simplePos x="0" y="0"/>
          <wp:positionH relativeFrom="page">
            <wp:posOffset>540385</wp:posOffset>
          </wp:positionH>
          <wp:positionV relativeFrom="page">
            <wp:posOffset>306070</wp:posOffset>
          </wp:positionV>
          <wp:extent cx="558000" cy="360000"/>
          <wp:effectExtent l="0" t="0" r="0" b="2540"/>
          <wp:wrapNone/>
          <wp:docPr id="11" name="Picture 1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58000" cy="360000"/>
                  </a:xfrm>
                  <a:prstGeom prst="rect">
                    <a:avLst/>
                  </a:prstGeom>
                </pic:spPr>
              </pic:pic>
            </a:graphicData>
          </a:graphic>
          <wp14:sizeRelH relativeFrom="margin">
            <wp14:pctWidth>0</wp14:pctWidth>
          </wp14:sizeRelH>
          <wp14:sizeRelV relativeFrom="margin">
            <wp14:pctHeight>0</wp14:pctHeight>
          </wp14:sizeRelV>
        </wp:anchor>
      </w:drawing>
    </w:r>
    <w:r>
      <w:fldChar w:fldCharType="begin"/>
    </w:r>
    <w:r>
      <w:instrText xml:space="preserve"> STYLEREF  "</w:instrText>
    </w:r>
    <w:r w:rsidR="00604FF0">
      <w:instrText>report</w:instrText>
    </w:r>
    <w:r>
      <w:instrText xml:space="preserve"> title" </w:instrText>
    </w:r>
    <w:r>
      <w:fldChar w:fldCharType="separate"/>
    </w:r>
    <w:r w:rsidR="004B2FAC">
      <w:rPr>
        <w:noProof/>
      </w:rPr>
      <w:t>Report title</w:t>
    </w:r>
    <w:r>
      <w:rPr>
        <w:noProof/>
      </w:rPr>
      <w:fldChar w:fldCharType="end"/>
    </w:r>
    <w:r>
      <w:rPr>
        <w:noProof/>
      </w:rPr>
      <w:t xml:space="preserve"> - </w:t>
    </w:r>
    <w:r>
      <w:rPr>
        <w:noProof/>
      </w:rPr>
      <w:fldChar w:fldCharType="begin"/>
    </w:r>
    <w:r>
      <w:rPr>
        <w:noProof/>
      </w:rPr>
      <w:instrText xml:space="preserve"> STYLEREF  "Document Name" </w:instrText>
    </w:r>
    <w:r>
      <w:rPr>
        <w:noProof/>
      </w:rPr>
      <w:fldChar w:fldCharType="separate"/>
    </w:r>
    <w:r w:rsidR="004B2FAC">
      <w:rPr>
        <w:noProof/>
      </w:rPr>
      <w:t>Consultation response</w:t>
    </w:r>
    <w:r>
      <w:rPr>
        <w:noProof/>
      </w:rPr>
      <w:fldChar w:fldCharType="end"/>
    </w:r>
    <w:r>
      <w:ptab w:relativeTo="margin" w:alignment="right" w:leader="none"/>
    </w:r>
    <w:r w:rsidRPr="0067180B">
      <w:rPr>
        <w:color w:val="58626E" w:themeColor="text2"/>
        <w:sz w:val="16"/>
        <w:szCs w:val="16"/>
      </w:rPr>
      <w:fldChar w:fldCharType="begin"/>
    </w:r>
    <w:r w:rsidRPr="0067180B">
      <w:rPr>
        <w:color w:val="58626E" w:themeColor="text2"/>
        <w:sz w:val="16"/>
        <w:szCs w:val="16"/>
      </w:rPr>
      <w:instrText xml:space="preserve"> PAGE  \* Arabic </w:instrText>
    </w:r>
    <w:r w:rsidRPr="0067180B">
      <w:rPr>
        <w:color w:val="58626E" w:themeColor="text2"/>
        <w:sz w:val="16"/>
        <w:szCs w:val="16"/>
      </w:rPr>
      <w:fldChar w:fldCharType="separate"/>
    </w:r>
    <w:r w:rsidRPr="0067180B">
      <w:rPr>
        <w:noProof/>
        <w:color w:val="58626E" w:themeColor="text2"/>
        <w:sz w:val="16"/>
        <w:szCs w:val="16"/>
      </w:rPr>
      <w:t>1</w:t>
    </w:r>
    <w:r w:rsidRPr="0067180B">
      <w:rPr>
        <w:color w:val="58626E" w:themeColor="text2"/>
        <w:sz w:val="16"/>
        <w:szCs w:val="16"/>
      </w:rPr>
      <w:fldChar w:fldCharType="end"/>
    </w:r>
  </w:p>
  <w:p w14:paraId="11C7E843" w14:textId="77777777" w:rsidR="00421B06" w:rsidRPr="0063393D" w:rsidRDefault="00421B06">
    <w:pPr>
      <w:pStyle w:val="Header"/>
      <w:rPr>
        <w:rFonts w:asciiTheme="majorHAnsi" w:hAnsiTheme="majorHAnsi" w:cstheme="majorHAnsi"/>
      </w:rPr>
    </w:pPr>
    <w:r>
      <w:rPr>
        <w:rFonts w:asciiTheme="majorHAnsi" w:hAnsiTheme="majorHAnsi" w:cstheme="majorHAnsi"/>
        <w:noProof/>
      </w:rPr>
      <w:drawing>
        <wp:inline distT="0" distB="0" distL="0" distR="0" wp14:anchorId="502CDBE5" wp14:editId="63FCAD71">
          <wp:extent cx="1224000" cy="576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2">
                    <a:extLst>
                      <a:ext uri="{28A0092B-C50C-407E-A947-70E740481C1C}">
                        <a14:useLocalDpi xmlns:a14="http://schemas.microsoft.com/office/drawing/2010/main" val="0"/>
                      </a:ext>
                    </a:extLst>
                  </a:blip>
                  <a:stretch>
                    <a:fillRect/>
                  </a:stretch>
                </pic:blipFill>
                <pic:spPr>
                  <a:xfrm>
                    <a:off x="0" y="0"/>
                    <a:ext cx="1224000" cy="576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654A5308"/>
    <w:lvl w:ilvl="0">
      <w:start w:val="1"/>
      <w:numFmt w:val="decimal"/>
      <w:lvlText w:val="%1."/>
      <w:lvlJc w:val="left"/>
      <w:pPr>
        <w:tabs>
          <w:tab w:val="num" w:pos="926"/>
        </w:tabs>
        <w:ind w:left="926" w:hanging="360"/>
      </w:pPr>
    </w:lvl>
  </w:abstractNum>
  <w:abstractNum w:abstractNumId="1" w15:restartNumberingAfterBreak="0">
    <w:nsid w:val="FFFFFF7F"/>
    <w:multiLevelType w:val="singleLevel"/>
    <w:tmpl w:val="55EEFD26"/>
    <w:lvl w:ilvl="0">
      <w:start w:val="1"/>
      <w:numFmt w:val="decimal"/>
      <w:lvlText w:val="%1."/>
      <w:lvlJc w:val="left"/>
      <w:pPr>
        <w:tabs>
          <w:tab w:val="num" w:pos="643"/>
        </w:tabs>
        <w:ind w:left="643" w:hanging="360"/>
      </w:pPr>
    </w:lvl>
  </w:abstractNum>
  <w:abstractNum w:abstractNumId="2" w15:restartNumberingAfterBreak="0">
    <w:nsid w:val="FFFFFF82"/>
    <w:multiLevelType w:val="singleLevel"/>
    <w:tmpl w:val="824893B6"/>
    <w:lvl w:ilvl="0">
      <w:start w:val="1"/>
      <w:numFmt w:val="bullet"/>
      <w:pStyle w:val="ListBullet3"/>
      <w:lvlText w:val="·"/>
      <w:lvlJc w:val="left"/>
      <w:pPr>
        <w:ind w:left="926" w:hanging="360"/>
      </w:pPr>
      <w:rPr>
        <w:rFonts w:ascii="Symbol" w:hAnsi="Symbol" w:cs="Symbol" w:hint="default"/>
        <w:color w:val="auto"/>
        <w:sz w:val="16"/>
        <w:szCs w:val="24"/>
      </w:rPr>
    </w:lvl>
  </w:abstractNum>
  <w:abstractNum w:abstractNumId="3" w15:restartNumberingAfterBreak="0">
    <w:nsid w:val="FFFFFF83"/>
    <w:multiLevelType w:val="singleLevel"/>
    <w:tmpl w:val="CB1A47CE"/>
    <w:lvl w:ilvl="0">
      <w:start w:val="1"/>
      <w:numFmt w:val="bullet"/>
      <w:pStyle w:val="ListBullet2"/>
      <w:lvlText w:val="·"/>
      <w:lvlJc w:val="left"/>
      <w:pPr>
        <w:ind w:left="643" w:hanging="360"/>
      </w:pPr>
      <w:rPr>
        <w:rFonts w:ascii="Symbol" w:hAnsi="Symbol" w:cs="Symbol" w:hint="default"/>
        <w:color w:val="auto"/>
        <w:sz w:val="16"/>
        <w:szCs w:val="24"/>
      </w:rPr>
    </w:lvl>
  </w:abstractNum>
  <w:abstractNum w:abstractNumId="4" w15:restartNumberingAfterBreak="0">
    <w:nsid w:val="FFFFFF88"/>
    <w:multiLevelType w:val="singleLevel"/>
    <w:tmpl w:val="8FECF9D0"/>
    <w:lvl w:ilvl="0">
      <w:start w:val="1"/>
      <w:numFmt w:val="decimal"/>
      <w:lvlText w:val="%1."/>
      <w:lvlJc w:val="left"/>
      <w:pPr>
        <w:tabs>
          <w:tab w:val="num" w:pos="360"/>
        </w:tabs>
        <w:ind w:left="360" w:hanging="360"/>
      </w:pPr>
    </w:lvl>
  </w:abstractNum>
  <w:abstractNum w:abstractNumId="5" w15:restartNumberingAfterBreak="0">
    <w:nsid w:val="FFFFFF89"/>
    <w:multiLevelType w:val="singleLevel"/>
    <w:tmpl w:val="63F290E2"/>
    <w:lvl w:ilvl="0">
      <w:start w:val="1"/>
      <w:numFmt w:val="bullet"/>
      <w:lvlText w:val="·"/>
      <w:lvlJc w:val="left"/>
      <w:pPr>
        <w:ind w:left="360" w:hanging="360"/>
      </w:pPr>
      <w:rPr>
        <w:rFonts w:ascii="Symbol" w:hAnsi="Symbol" w:cs="Symbol" w:hint="default"/>
        <w:color w:val="auto"/>
        <w:sz w:val="16"/>
        <w:szCs w:val="24"/>
      </w:rPr>
    </w:lvl>
  </w:abstractNum>
  <w:abstractNum w:abstractNumId="6" w15:restartNumberingAfterBreak="0">
    <w:nsid w:val="01A37A0A"/>
    <w:multiLevelType w:val="hybridMultilevel"/>
    <w:tmpl w:val="6A1E8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38836F9"/>
    <w:multiLevelType w:val="multilevel"/>
    <w:tmpl w:val="54BAD0B8"/>
    <w:numStyleLink w:val="HeadingNumList"/>
  </w:abstractNum>
  <w:abstractNum w:abstractNumId="8" w15:restartNumberingAfterBreak="0">
    <w:nsid w:val="09F65394"/>
    <w:multiLevelType w:val="hybridMultilevel"/>
    <w:tmpl w:val="0FEADA0A"/>
    <w:lvl w:ilvl="0" w:tplc="43547C90">
      <w:start w:val="1"/>
      <w:numFmt w:val="bullet"/>
      <w:lvlText w:val=""/>
      <w:lvlJc w:val="left"/>
      <w:pPr>
        <w:ind w:left="720" w:hanging="360"/>
      </w:pPr>
      <w:rPr>
        <w:rFonts w:ascii="Symbol" w:hAnsi="Symbol" w:hint="default"/>
      </w:rPr>
    </w:lvl>
    <w:lvl w:ilvl="1" w:tplc="432ECE96">
      <w:start w:val="1"/>
      <w:numFmt w:val="bullet"/>
      <w:lvlText w:val="o"/>
      <w:lvlJc w:val="left"/>
      <w:pPr>
        <w:ind w:left="1440" w:hanging="360"/>
      </w:pPr>
      <w:rPr>
        <w:rFonts w:ascii="Courier New" w:hAnsi="Courier New" w:hint="default"/>
      </w:rPr>
    </w:lvl>
    <w:lvl w:ilvl="2" w:tplc="EDB26342">
      <w:start w:val="1"/>
      <w:numFmt w:val="bullet"/>
      <w:lvlText w:val=""/>
      <w:lvlJc w:val="left"/>
      <w:pPr>
        <w:ind w:left="2160" w:hanging="360"/>
      </w:pPr>
      <w:rPr>
        <w:rFonts w:ascii="Wingdings" w:hAnsi="Wingdings" w:hint="default"/>
      </w:rPr>
    </w:lvl>
    <w:lvl w:ilvl="3" w:tplc="6D18CA42">
      <w:start w:val="1"/>
      <w:numFmt w:val="bullet"/>
      <w:lvlText w:val=""/>
      <w:lvlJc w:val="left"/>
      <w:pPr>
        <w:ind w:left="2880" w:hanging="360"/>
      </w:pPr>
      <w:rPr>
        <w:rFonts w:ascii="Symbol" w:hAnsi="Symbol" w:hint="default"/>
      </w:rPr>
    </w:lvl>
    <w:lvl w:ilvl="4" w:tplc="D26C0F92">
      <w:start w:val="1"/>
      <w:numFmt w:val="bullet"/>
      <w:lvlText w:val="o"/>
      <w:lvlJc w:val="left"/>
      <w:pPr>
        <w:ind w:left="3600" w:hanging="360"/>
      </w:pPr>
      <w:rPr>
        <w:rFonts w:ascii="Courier New" w:hAnsi="Courier New" w:hint="default"/>
      </w:rPr>
    </w:lvl>
    <w:lvl w:ilvl="5" w:tplc="D6AE50A2">
      <w:start w:val="1"/>
      <w:numFmt w:val="bullet"/>
      <w:lvlText w:val=""/>
      <w:lvlJc w:val="left"/>
      <w:pPr>
        <w:ind w:left="4320" w:hanging="360"/>
      </w:pPr>
      <w:rPr>
        <w:rFonts w:ascii="Wingdings" w:hAnsi="Wingdings" w:hint="default"/>
      </w:rPr>
    </w:lvl>
    <w:lvl w:ilvl="6" w:tplc="AAAAC68C">
      <w:start w:val="1"/>
      <w:numFmt w:val="bullet"/>
      <w:lvlText w:val=""/>
      <w:lvlJc w:val="left"/>
      <w:pPr>
        <w:ind w:left="5040" w:hanging="360"/>
      </w:pPr>
      <w:rPr>
        <w:rFonts w:ascii="Symbol" w:hAnsi="Symbol" w:hint="default"/>
      </w:rPr>
    </w:lvl>
    <w:lvl w:ilvl="7" w:tplc="7EAAB2E6">
      <w:start w:val="1"/>
      <w:numFmt w:val="bullet"/>
      <w:lvlText w:val="o"/>
      <w:lvlJc w:val="left"/>
      <w:pPr>
        <w:ind w:left="5760" w:hanging="360"/>
      </w:pPr>
      <w:rPr>
        <w:rFonts w:ascii="Courier New" w:hAnsi="Courier New" w:hint="default"/>
      </w:rPr>
    </w:lvl>
    <w:lvl w:ilvl="8" w:tplc="A7FAC96C">
      <w:start w:val="1"/>
      <w:numFmt w:val="bullet"/>
      <w:lvlText w:val=""/>
      <w:lvlJc w:val="left"/>
      <w:pPr>
        <w:ind w:left="6480" w:hanging="360"/>
      </w:pPr>
      <w:rPr>
        <w:rFonts w:ascii="Wingdings" w:hAnsi="Wingdings" w:hint="default"/>
      </w:rPr>
    </w:lvl>
  </w:abstractNum>
  <w:abstractNum w:abstractNumId="9" w15:restartNumberingAfterBreak="0">
    <w:nsid w:val="10C92DE1"/>
    <w:multiLevelType w:val="multilevel"/>
    <w:tmpl w:val="B88C6228"/>
    <w:numStyleLink w:val="NumList"/>
  </w:abstractNum>
  <w:abstractNum w:abstractNumId="10" w15:restartNumberingAfterBreak="0">
    <w:nsid w:val="20BB7784"/>
    <w:multiLevelType w:val="hybridMultilevel"/>
    <w:tmpl w:val="69FEC2CC"/>
    <w:lvl w:ilvl="0" w:tplc="A8823028">
      <w:start w:val="1"/>
      <w:numFmt w:val="bullet"/>
      <w:lvlText w:val=""/>
      <w:lvlJc w:val="left"/>
      <w:pPr>
        <w:ind w:left="720" w:hanging="360"/>
      </w:pPr>
      <w:rPr>
        <w:rFonts w:ascii="Symbol" w:hAnsi="Symbol" w:hint="default"/>
      </w:rPr>
    </w:lvl>
    <w:lvl w:ilvl="1" w:tplc="F1E209A2">
      <w:start w:val="1"/>
      <w:numFmt w:val="bullet"/>
      <w:lvlText w:val="o"/>
      <w:lvlJc w:val="left"/>
      <w:pPr>
        <w:ind w:left="1440" w:hanging="360"/>
      </w:pPr>
      <w:rPr>
        <w:rFonts w:ascii="Courier New" w:hAnsi="Courier New" w:hint="default"/>
      </w:rPr>
    </w:lvl>
    <w:lvl w:ilvl="2" w:tplc="F1A87922">
      <w:start w:val="1"/>
      <w:numFmt w:val="bullet"/>
      <w:lvlText w:val=""/>
      <w:lvlJc w:val="left"/>
      <w:pPr>
        <w:ind w:left="2160" w:hanging="360"/>
      </w:pPr>
      <w:rPr>
        <w:rFonts w:ascii="Wingdings" w:hAnsi="Wingdings" w:hint="default"/>
      </w:rPr>
    </w:lvl>
    <w:lvl w:ilvl="3" w:tplc="981CDC1E">
      <w:start w:val="1"/>
      <w:numFmt w:val="bullet"/>
      <w:lvlText w:val=""/>
      <w:lvlJc w:val="left"/>
      <w:pPr>
        <w:ind w:left="2880" w:hanging="360"/>
      </w:pPr>
      <w:rPr>
        <w:rFonts w:ascii="Symbol" w:hAnsi="Symbol" w:hint="default"/>
      </w:rPr>
    </w:lvl>
    <w:lvl w:ilvl="4" w:tplc="0AF83A30">
      <w:start w:val="1"/>
      <w:numFmt w:val="bullet"/>
      <w:lvlText w:val="o"/>
      <w:lvlJc w:val="left"/>
      <w:pPr>
        <w:ind w:left="3600" w:hanging="360"/>
      </w:pPr>
      <w:rPr>
        <w:rFonts w:ascii="Courier New" w:hAnsi="Courier New" w:hint="default"/>
      </w:rPr>
    </w:lvl>
    <w:lvl w:ilvl="5" w:tplc="AF783342">
      <w:start w:val="1"/>
      <w:numFmt w:val="bullet"/>
      <w:lvlText w:val=""/>
      <w:lvlJc w:val="left"/>
      <w:pPr>
        <w:ind w:left="4320" w:hanging="360"/>
      </w:pPr>
      <w:rPr>
        <w:rFonts w:ascii="Wingdings" w:hAnsi="Wingdings" w:hint="default"/>
      </w:rPr>
    </w:lvl>
    <w:lvl w:ilvl="6" w:tplc="C3FAFA36">
      <w:start w:val="1"/>
      <w:numFmt w:val="bullet"/>
      <w:lvlText w:val=""/>
      <w:lvlJc w:val="left"/>
      <w:pPr>
        <w:ind w:left="5040" w:hanging="360"/>
      </w:pPr>
      <w:rPr>
        <w:rFonts w:ascii="Symbol" w:hAnsi="Symbol" w:hint="default"/>
      </w:rPr>
    </w:lvl>
    <w:lvl w:ilvl="7" w:tplc="9710E102">
      <w:start w:val="1"/>
      <w:numFmt w:val="bullet"/>
      <w:lvlText w:val="o"/>
      <w:lvlJc w:val="left"/>
      <w:pPr>
        <w:ind w:left="5760" w:hanging="360"/>
      </w:pPr>
      <w:rPr>
        <w:rFonts w:ascii="Courier New" w:hAnsi="Courier New" w:hint="default"/>
      </w:rPr>
    </w:lvl>
    <w:lvl w:ilvl="8" w:tplc="A34E5F4E">
      <w:start w:val="1"/>
      <w:numFmt w:val="bullet"/>
      <w:lvlText w:val=""/>
      <w:lvlJc w:val="left"/>
      <w:pPr>
        <w:ind w:left="6480" w:hanging="360"/>
      </w:pPr>
      <w:rPr>
        <w:rFonts w:ascii="Wingdings" w:hAnsi="Wingdings" w:hint="default"/>
      </w:rPr>
    </w:lvl>
  </w:abstractNum>
  <w:abstractNum w:abstractNumId="11" w15:restartNumberingAfterBreak="0">
    <w:nsid w:val="2D7C2039"/>
    <w:multiLevelType w:val="multilevel"/>
    <w:tmpl w:val="54BAD0B8"/>
    <w:numStyleLink w:val="HeadingNumList"/>
  </w:abstractNum>
  <w:abstractNum w:abstractNumId="12" w15:restartNumberingAfterBreak="0">
    <w:nsid w:val="306681BB"/>
    <w:multiLevelType w:val="hybridMultilevel"/>
    <w:tmpl w:val="841EE2FE"/>
    <w:lvl w:ilvl="0" w:tplc="DFE271D2">
      <w:start w:val="1"/>
      <w:numFmt w:val="lowerRoman"/>
      <w:lvlText w:val="(%1)"/>
      <w:lvlJc w:val="right"/>
      <w:pPr>
        <w:ind w:left="720" w:hanging="360"/>
      </w:pPr>
    </w:lvl>
    <w:lvl w:ilvl="1" w:tplc="F36AD538">
      <w:start w:val="1"/>
      <w:numFmt w:val="lowerLetter"/>
      <w:lvlText w:val="%2."/>
      <w:lvlJc w:val="left"/>
      <w:pPr>
        <w:ind w:left="1440" w:hanging="360"/>
      </w:pPr>
    </w:lvl>
    <w:lvl w:ilvl="2" w:tplc="635EA474">
      <w:start w:val="1"/>
      <w:numFmt w:val="lowerRoman"/>
      <w:lvlText w:val="%3."/>
      <w:lvlJc w:val="right"/>
      <w:pPr>
        <w:ind w:left="2160" w:hanging="180"/>
      </w:pPr>
    </w:lvl>
    <w:lvl w:ilvl="3" w:tplc="8B18AF46">
      <w:start w:val="1"/>
      <w:numFmt w:val="decimal"/>
      <w:lvlText w:val="%4."/>
      <w:lvlJc w:val="left"/>
      <w:pPr>
        <w:ind w:left="2880" w:hanging="360"/>
      </w:pPr>
    </w:lvl>
    <w:lvl w:ilvl="4" w:tplc="889C6CEA">
      <w:start w:val="1"/>
      <w:numFmt w:val="lowerLetter"/>
      <w:lvlText w:val="%5."/>
      <w:lvlJc w:val="left"/>
      <w:pPr>
        <w:ind w:left="3600" w:hanging="360"/>
      </w:pPr>
    </w:lvl>
    <w:lvl w:ilvl="5" w:tplc="DC9C00C8">
      <w:start w:val="1"/>
      <w:numFmt w:val="lowerRoman"/>
      <w:lvlText w:val="%6."/>
      <w:lvlJc w:val="right"/>
      <w:pPr>
        <w:ind w:left="4320" w:hanging="180"/>
      </w:pPr>
    </w:lvl>
    <w:lvl w:ilvl="6" w:tplc="30BE6176">
      <w:start w:val="1"/>
      <w:numFmt w:val="decimal"/>
      <w:lvlText w:val="%7."/>
      <w:lvlJc w:val="left"/>
      <w:pPr>
        <w:ind w:left="5040" w:hanging="360"/>
      </w:pPr>
    </w:lvl>
    <w:lvl w:ilvl="7" w:tplc="5908EE42">
      <w:start w:val="1"/>
      <w:numFmt w:val="lowerLetter"/>
      <w:lvlText w:val="%8."/>
      <w:lvlJc w:val="left"/>
      <w:pPr>
        <w:ind w:left="5760" w:hanging="360"/>
      </w:pPr>
    </w:lvl>
    <w:lvl w:ilvl="8" w:tplc="15DA8A76">
      <w:start w:val="1"/>
      <w:numFmt w:val="lowerRoman"/>
      <w:lvlText w:val="%9."/>
      <w:lvlJc w:val="right"/>
      <w:pPr>
        <w:ind w:left="6480" w:hanging="180"/>
      </w:pPr>
    </w:lvl>
  </w:abstractNum>
  <w:abstractNum w:abstractNumId="13" w15:restartNumberingAfterBreak="0">
    <w:nsid w:val="30E2784E"/>
    <w:multiLevelType w:val="hybridMultilevel"/>
    <w:tmpl w:val="49C20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C6BD0F"/>
    <w:multiLevelType w:val="hybridMultilevel"/>
    <w:tmpl w:val="7BE8DC74"/>
    <w:lvl w:ilvl="0" w:tplc="E6D890E8">
      <w:start w:val="1"/>
      <w:numFmt w:val="bullet"/>
      <w:lvlText w:val=""/>
      <w:lvlJc w:val="left"/>
      <w:pPr>
        <w:ind w:left="720" w:hanging="360"/>
      </w:pPr>
      <w:rPr>
        <w:rFonts w:ascii="Symbol" w:hAnsi="Symbol" w:hint="default"/>
      </w:rPr>
    </w:lvl>
    <w:lvl w:ilvl="1" w:tplc="B17EDCAE">
      <w:start w:val="1"/>
      <w:numFmt w:val="bullet"/>
      <w:lvlText w:val="o"/>
      <w:lvlJc w:val="left"/>
      <w:pPr>
        <w:ind w:left="1440" w:hanging="360"/>
      </w:pPr>
      <w:rPr>
        <w:rFonts w:ascii="Courier New" w:hAnsi="Courier New" w:hint="default"/>
      </w:rPr>
    </w:lvl>
    <w:lvl w:ilvl="2" w:tplc="93CA2D3C">
      <w:start w:val="1"/>
      <w:numFmt w:val="bullet"/>
      <w:lvlText w:val=""/>
      <w:lvlJc w:val="left"/>
      <w:pPr>
        <w:ind w:left="2160" w:hanging="360"/>
      </w:pPr>
      <w:rPr>
        <w:rFonts w:ascii="Wingdings" w:hAnsi="Wingdings" w:hint="default"/>
      </w:rPr>
    </w:lvl>
    <w:lvl w:ilvl="3" w:tplc="9DCADD72">
      <w:start w:val="1"/>
      <w:numFmt w:val="bullet"/>
      <w:lvlText w:val=""/>
      <w:lvlJc w:val="left"/>
      <w:pPr>
        <w:ind w:left="2880" w:hanging="360"/>
      </w:pPr>
      <w:rPr>
        <w:rFonts w:ascii="Symbol" w:hAnsi="Symbol" w:hint="default"/>
      </w:rPr>
    </w:lvl>
    <w:lvl w:ilvl="4" w:tplc="D862B806">
      <w:start w:val="1"/>
      <w:numFmt w:val="bullet"/>
      <w:lvlText w:val="o"/>
      <w:lvlJc w:val="left"/>
      <w:pPr>
        <w:ind w:left="3600" w:hanging="360"/>
      </w:pPr>
      <w:rPr>
        <w:rFonts w:ascii="Courier New" w:hAnsi="Courier New" w:hint="default"/>
      </w:rPr>
    </w:lvl>
    <w:lvl w:ilvl="5" w:tplc="66380D92">
      <w:start w:val="1"/>
      <w:numFmt w:val="bullet"/>
      <w:lvlText w:val=""/>
      <w:lvlJc w:val="left"/>
      <w:pPr>
        <w:ind w:left="4320" w:hanging="360"/>
      </w:pPr>
      <w:rPr>
        <w:rFonts w:ascii="Wingdings" w:hAnsi="Wingdings" w:hint="default"/>
      </w:rPr>
    </w:lvl>
    <w:lvl w:ilvl="6" w:tplc="F088258C">
      <w:start w:val="1"/>
      <w:numFmt w:val="bullet"/>
      <w:lvlText w:val=""/>
      <w:lvlJc w:val="left"/>
      <w:pPr>
        <w:ind w:left="5040" w:hanging="360"/>
      </w:pPr>
      <w:rPr>
        <w:rFonts w:ascii="Symbol" w:hAnsi="Symbol" w:hint="default"/>
      </w:rPr>
    </w:lvl>
    <w:lvl w:ilvl="7" w:tplc="B6BCB73C">
      <w:start w:val="1"/>
      <w:numFmt w:val="bullet"/>
      <w:lvlText w:val="o"/>
      <w:lvlJc w:val="left"/>
      <w:pPr>
        <w:ind w:left="5760" w:hanging="360"/>
      </w:pPr>
      <w:rPr>
        <w:rFonts w:ascii="Courier New" w:hAnsi="Courier New" w:hint="default"/>
      </w:rPr>
    </w:lvl>
    <w:lvl w:ilvl="8" w:tplc="1EBA1F0C">
      <w:start w:val="1"/>
      <w:numFmt w:val="bullet"/>
      <w:lvlText w:val=""/>
      <w:lvlJc w:val="left"/>
      <w:pPr>
        <w:ind w:left="6480" w:hanging="360"/>
      </w:pPr>
      <w:rPr>
        <w:rFonts w:ascii="Wingdings" w:hAnsi="Wingdings" w:hint="default"/>
      </w:rPr>
    </w:lvl>
  </w:abstractNum>
  <w:abstractNum w:abstractNumId="15" w15:restartNumberingAfterBreak="0">
    <w:nsid w:val="3591DF82"/>
    <w:multiLevelType w:val="hybridMultilevel"/>
    <w:tmpl w:val="2014F89C"/>
    <w:lvl w:ilvl="0" w:tplc="1E64494E">
      <w:start w:val="1"/>
      <w:numFmt w:val="bullet"/>
      <w:lvlText w:val=""/>
      <w:lvlJc w:val="left"/>
      <w:pPr>
        <w:ind w:left="720" w:hanging="360"/>
      </w:pPr>
      <w:rPr>
        <w:rFonts w:ascii="Symbol" w:hAnsi="Symbol" w:hint="default"/>
      </w:rPr>
    </w:lvl>
    <w:lvl w:ilvl="1" w:tplc="85D00E2C">
      <w:start w:val="1"/>
      <w:numFmt w:val="bullet"/>
      <w:lvlText w:val="o"/>
      <w:lvlJc w:val="left"/>
      <w:pPr>
        <w:ind w:left="1440" w:hanging="360"/>
      </w:pPr>
      <w:rPr>
        <w:rFonts w:ascii="Courier New" w:hAnsi="Courier New" w:hint="default"/>
      </w:rPr>
    </w:lvl>
    <w:lvl w:ilvl="2" w:tplc="F4E47074">
      <w:start w:val="1"/>
      <w:numFmt w:val="bullet"/>
      <w:lvlText w:val=""/>
      <w:lvlJc w:val="left"/>
      <w:pPr>
        <w:ind w:left="2160" w:hanging="360"/>
      </w:pPr>
      <w:rPr>
        <w:rFonts w:ascii="Wingdings" w:hAnsi="Wingdings" w:hint="default"/>
      </w:rPr>
    </w:lvl>
    <w:lvl w:ilvl="3" w:tplc="915CDA26">
      <w:start w:val="1"/>
      <w:numFmt w:val="bullet"/>
      <w:lvlText w:val=""/>
      <w:lvlJc w:val="left"/>
      <w:pPr>
        <w:ind w:left="2880" w:hanging="360"/>
      </w:pPr>
      <w:rPr>
        <w:rFonts w:ascii="Symbol" w:hAnsi="Symbol" w:hint="default"/>
      </w:rPr>
    </w:lvl>
    <w:lvl w:ilvl="4" w:tplc="66565D7E">
      <w:start w:val="1"/>
      <w:numFmt w:val="bullet"/>
      <w:lvlText w:val="o"/>
      <w:lvlJc w:val="left"/>
      <w:pPr>
        <w:ind w:left="3600" w:hanging="360"/>
      </w:pPr>
      <w:rPr>
        <w:rFonts w:ascii="Courier New" w:hAnsi="Courier New" w:hint="default"/>
      </w:rPr>
    </w:lvl>
    <w:lvl w:ilvl="5" w:tplc="19181B68">
      <w:start w:val="1"/>
      <w:numFmt w:val="bullet"/>
      <w:lvlText w:val=""/>
      <w:lvlJc w:val="left"/>
      <w:pPr>
        <w:ind w:left="4320" w:hanging="360"/>
      </w:pPr>
      <w:rPr>
        <w:rFonts w:ascii="Wingdings" w:hAnsi="Wingdings" w:hint="default"/>
      </w:rPr>
    </w:lvl>
    <w:lvl w:ilvl="6" w:tplc="E5AEEB5A">
      <w:start w:val="1"/>
      <w:numFmt w:val="bullet"/>
      <w:lvlText w:val=""/>
      <w:lvlJc w:val="left"/>
      <w:pPr>
        <w:ind w:left="5040" w:hanging="360"/>
      </w:pPr>
      <w:rPr>
        <w:rFonts w:ascii="Symbol" w:hAnsi="Symbol" w:hint="default"/>
      </w:rPr>
    </w:lvl>
    <w:lvl w:ilvl="7" w:tplc="5FB8A6C6">
      <w:start w:val="1"/>
      <w:numFmt w:val="bullet"/>
      <w:lvlText w:val="o"/>
      <w:lvlJc w:val="left"/>
      <w:pPr>
        <w:ind w:left="5760" w:hanging="360"/>
      </w:pPr>
      <w:rPr>
        <w:rFonts w:ascii="Courier New" w:hAnsi="Courier New" w:hint="default"/>
      </w:rPr>
    </w:lvl>
    <w:lvl w:ilvl="8" w:tplc="69008DB6">
      <w:start w:val="1"/>
      <w:numFmt w:val="bullet"/>
      <w:lvlText w:val=""/>
      <w:lvlJc w:val="left"/>
      <w:pPr>
        <w:ind w:left="6480" w:hanging="360"/>
      </w:pPr>
      <w:rPr>
        <w:rFonts w:ascii="Wingdings" w:hAnsi="Wingdings" w:hint="default"/>
      </w:rPr>
    </w:lvl>
  </w:abstractNum>
  <w:abstractNum w:abstractNumId="16" w15:restartNumberingAfterBreak="0">
    <w:nsid w:val="3AA87344"/>
    <w:multiLevelType w:val="multilevel"/>
    <w:tmpl w:val="54BAD0B8"/>
    <w:styleLink w:val="HeadingNumList"/>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6D22968"/>
    <w:multiLevelType w:val="multilevel"/>
    <w:tmpl w:val="B88C6228"/>
    <w:styleLink w:val="NumList"/>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1" w:hanging="34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879575F"/>
    <w:multiLevelType w:val="hybridMultilevel"/>
    <w:tmpl w:val="4AAC0AFE"/>
    <w:lvl w:ilvl="0" w:tplc="2EEA2AA6">
      <w:start w:val="1"/>
      <w:numFmt w:val="bullet"/>
      <w:lvlText w:val=""/>
      <w:lvlJc w:val="left"/>
      <w:pPr>
        <w:ind w:left="720" w:hanging="360"/>
      </w:pPr>
      <w:rPr>
        <w:rFonts w:ascii="Symbol" w:hAnsi="Symbol" w:hint="default"/>
      </w:rPr>
    </w:lvl>
    <w:lvl w:ilvl="1" w:tplc="97D2E818">
      <w:start w:val="1"/>
      <w:numFmt w:val="bullet"/>
      <w:lvlText w:val="o"/>
      <w:lvlJc w:val="left"/>
      <w:pPr>
        <w:ind w:left="1440" w:hanging="360"/>
      </w:pPr>
      <w:rPr>
        <w:rFonts w:ascii="Courier New" w:hAnsi="Courier New" w:hint="default"/>
      </w:rPr>
    </w:lvl>
    <w:lvl w:ilvl="2" w:tplc="8FE83A00">
      <w:start w:val="1"/>
      <w:numFmt w:val="bullet"/>
      <w:lvlText w:val=""/>
      <w:lvlJc w:val="left"/>
      <w:pPr>
        <w:ind w:left="2160" w:hanging="360"/>
      </w:pPr>
      <w:rPr>
        <w:rFonts w:ascii="Wingdings" w:hAnsi="Wingdings" w:hint="default"/>
      </w:rPr>
    </w:lvl>
    <w:lvl w:ilvl="3" w:tplc="69B602B4">
      <w:start w:val="1"/>
      <w:numFmt w:val="bullet"/>
      <w:lvlText w:val=""/>
      <w:lvlJc w:val="left"/>
      <w:pPr>
        <w:ind w:left="2880" w:hanging="360"/>
      </w:pPr>
      <w:rPr>
        <w:rFonts w:ascii="Symbol" w:hAnsi="Symbol" w:hint="default"/>
      </w:rPr>
    </w:lvl>
    <w:lvl w:ilvl="4" w:tplc="EE526B9E">
      <w:start w:val="1"/>
      <w:numFmt w:val="bullet"/>
      <w:lvlText w:val="o"/>
      <w:lvlJc w:val="left"/>
      <w:pPr>
        <w:ind w:left="3600" w:hanging="360"/>
      </w:pPr>
      <w:rPr>
        <w:rFonts w:ascii="Courier New" w:hAnsi="Courier New" w:hint="default"/>
      </w:rPr>
    </w:lvl>
    <w:lvl w:ilvl="5" w:tplc="096A9A2C">
      <w:start w:val="1"/>
      <w:numFmt w:val="bullet"/>
      <w:lvlText w:val=""/>
      <w:lvlJc w:val="left"/>
      <w:pPr>
        <w:ind w:left="4320" w:hanging="360"/>
      </w:pPr>
      <w:rPr>
        <w:rFonts w:ascii="Wingdings" w:hAnsi="Wingdings" w:hint="default"/>
      </w:rPr>
    </w:lvl>
    <w:lvl w:ilvl="6" w:tplc="2ACA0434">
      <w:start w:val="1"/>
      <w:numFmt w:val="bullet"/>
      <w:lvlText w:val=""/>
      <w:lvlJc w:val="left"/>
      <w:pPr>
        <w:ind w:left="5040" w:hanging="360"/>
      </w:pPr>
      <w:rPr>
        <w:rFonts w:ascii="Symbol" w:hAnsi="Symbol" w:hint="default"/>
      </w:rPr>
    </w:lvl>
    <w:lvl w:ilvl="7" w:tplc="7ECE2C10">
      <w:start w:val="1"/>
      <w:numFmt w:val="bullet"/>
      <w:lvlText w:val="o"/>
      <w:lvlJc w:val="left"/>
      <w:pPr>
        <w:ind w:left="5760" w:hanging="360"/>
      </w:pPr>
      <w:rPr>
        <w:rFonts w:ascii="Courier New" w:hAnsi="Courier New" w:hint="default"/>
      </w:rPr>
    </w:lvl>
    <w:lvl w:ilvl="8" w:tplc="B97EB370">
      <w:start w:val="1"/>
      <w:numFmt w:val="bullet"/>
      <w:lvlText w:val=""/>
      <w:lvlJc w:val="left"/>
      <w:pPr>
        <w:ind w:left="6480" w:hanging="360"/>
      </w:pPr>
      <w:rPr>
        <w:rFonts w:ascii="Wingdings" w:hAnsi="Wingdings" w:hint="default"/>
      </w:rPr>
    </w:lvl>
  </w:abstractNum>
  <w:abstractNum w:abstractNumId="19" w15:restartNumberingAfterBreak="0">
    <w:nsid w:val="551F57D1"/>
    <w:multiLevelType w:val="multilevel"/>
    <w:tmpl w:val="54BAD0B8"/>
    <w:numStyleLink w:val="HeadingNumList"/>
  </w:abstractNum>
  <w:abstractNum w:abstractNumId="20" w15:restartNumberingAfterBreak="0">
    <w:nsid w:val="59031BD7"/>
    <w:multiLevelType w:val="hybridMultilevel"/>
    <w:tmpl w:val="79B24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23A2CC"/>
    <w:multiLevelType w:val="hybridMultilevel"/>
    <w:tmpl w:val="15FA6284"/>
    <w:lvl w:ilvl="0" w:tplc="D51067AE">
      <w:start w:val="1"/>
      <w:numFmt w:val="bullet"/>
      <w:lvlText w:val=""/>
      <w:lvlJc w:val="left"/>
      <w:pPr>
        <w:ind w:left="720" w:hanging="360"/>
      </w:pPr>
      <w:rPr>
        <w:rFonts w:ascii="Symbol" w:hAnsi="Symbol" w:hint="default"/>
      </w:rPr>
    </w:lvl>
    <w:lvl w:ilvl="1" w:tplc="FA66ADEA">
      <w:start w:val="1"/>
      <w:numFmt w:val="bullet"/>
      <w:lvlText w:val="o"/>
      <w:lvlJc w:val="left"/>
      <w:pPr>
        <w:ind w:left="1440" w:hanging="360"/>
      </w:pPr>
      <w:rPr>
        <w:rFonts w:ascii="Courier New" w:hAnsi="Courier New" w:hint="default"/>
      </w:rPr>
    </w:lvl>
    <w:lvl w:ilvl="2" w:tplc="8960A148">
      <w:start w:val="1"/>
      <w:numFmt w:val="bullet"/>
      <w:lvlText w:val=""/>
      <w:lvlJc w:val="left"/>
      <w:pPr>
        <w:ind w:left="2160" w:hanging="360"/>
      </w:pPr>
      <w:rPr>
        <w:rFonts w:ascii="Wingdings" w:hAnsi="Wingdings" w:hint="default"/>
      </w:rPr>
    </w:lvl>
    <w:lvl w:ilvl="3" w:tplc="F33AAB8C">
      <w:start w:val="1"/>
      <w:numFmt w:val="bullet"/>
      <w:lvlText w:val=""/>
      <w:lvlJc w:val="left"/>
      <w:pPr>
        <w:ind w:left="2880" w:hanging="360"/>
      </w:pPr>
      <w:rPr>
        <w:rFonts w:ascii="Symbol" w:hAnsi="Symbol" w:hint="default"/>
      </w:rPr>
    </w:lvl>
    <w:lvl w:ilvl="4" w:tplc="C40A3E68">
      <w:start w:val="1"/>
      <w:numFmt w:val="bullet"/>
      <w:lvlText w:val="o"/>
      <w:lvlJc w:val="left"/>
      <w:pPr>
        <w:ind w:left="3600" w:hanging="360"/>
      </w:pPr>
      <w:rPr>
        <w:rFonts w:ascii="Courier New" w:hAnsi="Courier New" w:hint="default"/>
      </w:rPr>
    </w:lvl>
    <w:lvl w:ilvl="5" w:tplc="94982CB6">
      <w:start w:val="1"/>
      <w:numFmt w:val="bullet"/>
      <w:lvlText w:val=""/>
      <w:lvlJc w:val="left"/>
      <w:pPr>
        <w:ind w:left="4320" w:hanging="360"/>
      </w:pPr>
      <w:rPr>
        <w:rFonts w:ascii="Wingdings" w:hAnsi="Wingdings" w:hint="default"/>
      </w:rPr>
    </w:lvl>
    <w:lvl w:ilvl="6" w:tplc="ABD816E8">
      <w:start w:val="1"/>
      <w:numFmt w:val="bullet"/>
      <w:lvlText w:val=""/>
      <w:lvlJc w:val="left"/>
      <w:pPr>
        <w:ind w:left="5040" w:hanging="360"/>
      </w:pPr>
      <w:rPr>
        <w:rFonts w:ascii="Symbol" w:hAnsi="Symbol" w:hint="default"/>
      </w:rPr>
    </w:lvl>
    <w:lvl w:ilvl="7" w:tplc="1ED421C0">
      <w:start w:val="1"/>
      <w:numFmt w:val="bullet"/>
      <w:lvlText w:val="o"/>
      <w:lvlJc w:val="left"/>
      <w:pPr>
        <w:ind w:left="5760" w:hanging="360"/>
      </w:pPr>
      <w:rPr>
        <w:rFonts w:ascii="Courier New" w:hAnsi="Courier New" w:hint="default"/>
      </w:rPr>
    </w:lvl>
    <w:lvl w:ilvl="8" w:tplc="352426C6">
      <w:start w:val="1"/>
      <w:numFmt w:val="bullet"/>
      <w:lvlText w:val=""/>
      <w:lvlJc w:val="left"/>
      <w:pPr>
        <w:ind w:left="6480" w:hanging="360"/>
      </w:pPr>
      <w:rPr>
        <w:rFonts w:ascii="Wingdings" w:hAnsi="Wingdings" w:hint="default"/>
      </w:rPr>
    </w:lvl>
  </w:abstractNum>
  <w:abstractNum w:abstractNumId="22" w15:restartNumberingAfterBreak="0">
    <w:nsid w:val="5F9CAFB7"/>
    <w:multiLevelType w:val="hybridMultilevel"/>
    <w:tmpl w:val="44ACF55E"/>
    <w:lvl w:ilvl="0" w:tplc="9C563BF0">
      <w:start w:val="1"/>
      <w:numFmt w:val="bullet"/>
      <w:lvlText w:val=""/>
      <w:lvlJc w:val="left"/>
      <w:pPr>
        <w:ind w:left="720" w:hanging="360"/>
      </w:pPr>
      <w:rPr>
        <w:rFonts w:ascii="Symbol" w:hAnsi="Symbol" w:hint="default"/>
      </w:rPr>
    </w:lvl>
    <w:lvl w:ilvl="1" w:tplc="F7EE3092">
      <w:start w:val="1"/>
      <w:numFmt w:val="bullet"/>
      <w:lvlText w:val="o"/>
      <w:lvlJc w:val="left"/>
      <w:pPr>
        <w:ind w:left="1440" w:hanging="360"/>
      </w:pPr>
      <w:rPr>
        <w:rFonts w:ascii="Courier New" w:hAnsi="Courier New" w:hint="default"/>
      </w:rPr>
    </w:lvl>
    <w:lvl w:ilvl="2" w:tplc="D0D661AC">
      <w:start w:val="1"/>
      <w:numFmt w:val="bullet"/>
      <w:lvlText w:val=""/>
      <w:lvlJc w:val="left"/>
      <w:pPr>
        <w:ind w:left="2160" w:hanging="360"/>
      </w:pPr>
      <w:rPr>
        <w:rFonts w:ascii="Wingdings" w:hAnsi="Wingdings" w:hint="default"/>
      </w:rPr>
    </w:lvl>
    <w:lvl w:ilvl="3" w:tplc="5BFE8B6A">
      <w:start w:val="1"/>
      <w:numFmt w:val="bullet"/>
      <w:lvlText w:val=""/>
      <w:lvlJc w:val="left"/>
      <w:pPr>
        <w:ind w:left="2880" w:hanging="360"/>
      </w:pPr>
      <w:rPr>
        <w:rFonts w:ascii="Symbol" w:hAnsi="Symbol" w:hint="default"/>
      </w:rPr>
    </w:lvl>
    <w:lvl w:ilvl="4" w:tplc="ED0C96AE">
      <w:start w:val="1"/>
      <w:numFmt w:val="bullet"/>
      <w:lvlText w:val="o"/>
      <w:lvlJc w:val="left"/>
      <w:pPr>
        <w:ind w:left="3600" w:hanging="360"/>
      </w:pPr>
      <w:rPr>
        <w:rFonts w:ascii="Courier New" w:hAnsi="Courier New" w:hint="default"/>
      </w:rPr>
    </w:lvl>
    <w:lvl w:ilvl="5" w:tplc="1C2C2E4E">
      <w:start w:val="1"/>
      <w:numFmt w:val="bullet"/>
      <w:lvlText w:val=""/>
      <w:lvlJc w:val="left"/>
      <w:pPr>
        <w:ind w:left="4320" w:hanging="360"/>
      </w:pPr>
      <w:rPr>
        <w:rFonts w:ascii="Wingdings" w:hAnsi="Wingdings" w:hint="default"/>
      </w:rPr>
    </w:lvl>
    <w:lvl w:ilvl="6" w:tplc="F6BACC32">
      <w:start w:val="1"/>
      <w:numFmt w:val="bullet"/>
      <w:lvlText w:val=""/>
      <w:lvlJc w:val="left"/>
      <w:pPr>
        <w:ind w:left="5040" w:hanging="360"/>
      </w:pPr>
      <w:rPr>
        <w:rFonts w:ascii="Symbol" w:hAnsi="Symbol" w:hint="default"/>
      </w:rPr>
    </w:lvl>
    <w:lvl w:ilvl="7" w:tplc="46AEE31E">
      <w:start w:val="1"/>
      <w:numFmt w:val="bullet"/>
      <w:lvlText w:val="o"/>
      <w:lvlJc w:val="left"/>
      <w:pPr>
        <w:ind w:left="5760" w:hanging="360"/>
      </w:pPr>
      <w:rPr>
        <w:rFonts w:ascii="Courier New" w:hAnsi="Courier New" w:hint="default"/>
      </w:rPr>
    </w:lvl>
    <w:lvl w:ilvl="8" w:tplc="AFAABF26">
      <w:start w:val="1"/>
      <w:numFmt w:val="bullet"/>
      <w:lvlText w:val=""/>
      <w:lvlJc w:val="left"/>
      <w:pPr>
        <w:ind w:left="6480" w:hanging="360"/>
      </w:pPr>
      <w:rPr>
        <w:rFonts w:ascii="Wingdings" w:hAnsi="Wingdings" w:hint="default"/>
      </w:rPr>
    </w:lvl>
  </w:abstractNum>
  <w:abstractNum w:abstractNumId="23" w15:restartNumberingAfterBreak="0">
    <w:nsid w:val="65102F33"/>
    <w:multiLevelType w:val="hybridMultilevel"/>
    <w:tmpl w:val="EE280F94"/>
    <w:lvl w:ilvl="0" w:tplc="EA3A59B2">
      <w:start w:val="1"/>
      <w:numFmt w:val="bullet"/>
      <w:lvlText w:val=""/>
      <w:lvlJc w:val="left"/>
      <w:pPr>
        <w:ind w:left="720" w:hanging="360"/>
      </w:pPr>
      <w:rPr>
        <w:rFonts w:ascii="Symbol" w:hAnsi="Symbol" w:hint="default"/>
      </w:rPr>
    </w:lvl>
    <w:lvl w:ilvl="1" w:tplc="897A87AC">
      <w:start w:val="1"/>
      <w:numFmt w:val="bullet"/>
      <w:lvlText w:val="o"/>
      <w:lvlJc w:val="left"/>
      <w:pPr>
        <w:ind w:left="1440" w:hanging="360"/>
      </w:pPr>
      <w:rPr>
        <w:rFonts w:ascii="Courier New" w:hAnsi="Courier New" w:hint="default"/>
      </w:rPr>
    </w:lvl>
    <w:lvl w:ilvl="2" w:tplc="726885A6">
      <w:start w:val="1"/>
      <w:numFmt w:val="bullet"/>
      <w:lvlText w:val=""/>
      <w:lvlJc w:val="left"/>
      <w:pPr>
        <w:ind w:left="2160" w:hanging="360"/>
      </w:pPr>
      <w:rPr>
        <w:rFonts w:ascii="Wingdings" w:hAnsi="Wingdings" w:hint="default"/>
      </w:rPr>
    </w:lvl>
    <w:lvl w:ilvl="3" w:tplc="9068745C">
      <w:start w:val="1"/>
      <w:numFmt w:val="bullet"/>
      <w:lvlText w:val=""/>
      <w:lvlJc w:val="left"/>
      <w:pPr>
        <w:ind w:left="2880" w:hanging="360"/>
      </w:pPr>
      <w:rPr>
        <w:rFonts w:ascii="Symbol" w:hAnsi="Symbol" w:hint="default"/>
      </w:rPr>
    </w:lvl>
    <w:lvl w:ilvl="4" w:tplc="517A4FB2">
      <w:start w:val="1"/>
      <w:numFmt w:val="bullet"/>
      <w:lvlText w:val="o"/>
      <w:lvlJc w:val="left"/>
      <w:pPr>
        <w:ind w:left="3600" w:hanging="360"/>
      </w:pPr>
      <w:rPr>
        <w:rFonts w:ascii="Courier New" w:hAnsi="Courier New" w:hint="default"/>
      </w:rPr>
    </w:lvl>
    <w:lvl w:ilvl="5" w:tplc="D3562FCC">
      <w:start w:val="1"/>
      <w:numFmt w:val="bullet"/>
      <w:lvlText w:val=""/>
      <w:lvlJc w:val="left"/>
      <w:pPr>
        <w:ind w:left="4320" w:hanging="360"/>
      </w:pPr>
      <w:rPr>
        <w:rFonts w:ascii="Wingdings" w:hAnsi="Wingdings" w:hint="default"/>
      </w:rPr>
    </w:lvl>
    <w:lvl w:ilvl="6" w:tplc="2ABA9CB4">
      <w:start w:val="1"/>
      <w:numFmt w:val="bullet"/>
      <w:lvlText w:val=""/>
      <w:lvlJc w:val="left"/>
      <w:pPr>
        <w:ind w:left="5040" w:hanging="360"/>
      </w:pPr>
      <w:rPr>
        <w:rFonts w:ascii="Symbol" w:hAnsi="Symbol" w:hint="default"/>
      </w:rPr>
    </w:lvl>
    <w:lvl w:ilvl="7" w:tplc="3226434C">
      <w:start w:val="1"/>
      <w:numFmt w:val="bullet"/>
      <w:lvlText w:val="o"/>
      <w:lvlJc w:val="left"/>
      <w:pPr>
        <w:ind w:left="5760" w:hanging="360"/>
      </w:pPr>
      <w:rPr>
        <w:rFonts w:ascii="Courier New" w:hAnsi="Courier New" w:hint="default"/>
      </w:rPr>
    </w:lvl>
    <w:lvl w:ilvl="8" w:tplc="2B2694C8">
      <w:start w:val="1"/>
      <w:numFmt w:val="bullet"/>
      <w:lvlText w:val=""/>
      <w:lvlJc w:val="left"/>
      <w:pPr>
        <w:ind w:left="6480" w:hanging="360"/>
      </w:pPr>
      <w:rPr>
        <w:rFonts w:ascii="Wingdings" w:hAnsi="Wingdings" w:hint="default"/>
      </w:rPr>
    </w:lvl>
  </w:abstractNum>
  <w:abstractNum w:abstractNumId="24" w15:restartNumberingAfterBreak="0">
    <w:nsid w:val="6C6248F4"/>
    <w:multiLevelType w:val="multilevel"/>
    <w:tmpl w:val="54BAD0B8"/>
    <w:numStyleLink w:val="HeadingNumList"/>
  </w:abstractNum>
  <w:abstractNum w:abstractNumId="25" w15:restartNumberingAfterBreak="0">
    <w:nsid w:val="6D09873B"/>
    <w:multiLevelType w:val="hybridMultilevel"/>
    <w:tmpl w:val="E9E248D0"/>
    <w:lvl w:ilvl="0" w:tplc="EA0453F2">
      <w:start w:val="1"/>
      <w:numFmt w:val="bullet"/>
      <w:lvlText w:val=""/>
      <w:lvlJc w:val="left"/>
      <w:pPr>
        <w:ind w:left="1440" w:hanging="360"/>
      </w:pPr>
      <w:rPr>
        <w:rFonts w:ascii="Symbol" w:hAnsi="Symbol" w:hint="default"/>
      </w:rPr>
    </w:lvl>
    <w:lvl w:ilvl="1" w:tplc="EC24D890">
      <w:start w:val="1"/>
      <w:numFmt w:val="bullet"/>
      <w:lvlText w:val="o"/>
      <w:lvlJc w:val="left"/>
      <w:pPr>
        <w:ind w:left="2160" w:hanging="360"/>
      </w:pPr>
      <w:rPr>
        <w:rFonts w:ascii="Courier New" w:hAnsi="Courier New" w:hint="default"/>
      </w:rPr>
    </w:lvl>
    <w:lvl w:ilvl="2" w:tplc="91887E0E">
      <w:start w:val="1"/>
      <w:numFmt w:val="bullet"/>
      <w:lvlText w:val=""/>
      <w:lvlJc w:val="left"/>
      <w:pPr>
        <w:ind w:left="2880" w:hanging="360"/>
      </w:pPr>
      <w:rPr>
        <w:rFonts w:ascii="Wingdings" w:hAnsi="Wingdings" w:hint="default"/>
      </w:rPr>
    </w:lvl>
    <w:lvl w:ilvl="3" w:tplc="6E7AE190">
      <w:start w:val="1"/>
      <w:numFmt w:val="bullet"/>
      <w:lvlText w:val=""/>
      <w:lvlJc w:val="left"/>
      <w:pPr>
        <w:ind w:left="3600" w:hanging="360"/>
      </w:pPr>
      <w:rPr>
        <w:rFonts w:ascii="Symbol" w:hAnsi="Symbol" w:hint="default"/>
      </w:rPr>
    </w:lvl>
    <w:lvl w:ilvl="4" w:tplc="CB169C12">
      <w:start w:val="1"/>
      <w:numFmt w:val="bullet"/>
      <w:lvlText w:val="o"/>
      <w:lvlJc w:val="left"/>
      <w:pPr>
        <w:ind w:left="4320" w:hanging="360"/>
      </w:pPr>
      <w:rPr>
        <w:rFonts w:ascii="Courier New" w:hAnsi="Courier New" w:hint="default"/>
      </w:rPr>
    </w:lvl>
    <w:lvl w:ilvl="5" w:tplc="D75EAC02">
      <w:start w:val="1"/>
      <w:numFmt w:val="bullet"/>
      <w:lvlText w:val=""/>
      <w:lvlJc w:val="left"/>
      <w:pPr>
        <w:ind w:left="5040" w:hanging="360"/>
      </w:pPr>
      <w:rPr>
        <w:rFonts w:ascii="Wingdings" w:hAnsi="Wingdings" w:hint="default"/>
      </w:rPr>
    </w:lvl>
    <w:lvl w:ilvl="6" w:tplc="48DCB312">
      <w:start w:val="1"/>
      <w:numFmt w:val="bullet"/>
      <w:lvlText w:val=""/>
      <w:lvlJc w:val="left"/>
      <w:pPr>
        <w:ind w:left="5760" w:hanging="360"/>
      </w:pPr>
      <w:rPr>
        <w:rFonts w:ascii="Symbol" w:hAnsi="Symbol" w:hint="default"/>
      </w:rPr>
    </w:lvl>
    <w:lvl w:ilvl="7" w:tplc="4E9E72CE">
      <w:start w:val="1"/>
      <w:numFmt w:val="bullet"/>
      <w:lvlText w:val="o"/>
      <w:lvlJc w:val="left"/>
      <w:pPr>
        <w:ind w:left="6480" w:hanging="360"/>
      </w:pPr>
      <w:rPr>
        <w:rFonts w:ascii="Courier New" w:hAnsi="Courier New" w:hint="default"/>
      </w:rPr>
    </w:lvl>
    <w:lvl w:ilvl="8" w:tplc="EA3A67A6">
      <w:start w:val="1"/>
      <w:numFmt w:val="bullet"/>
      <w:lvlText w:val=""/>
      <w:lvlJc w:val="left"/>
      <w:pPr>
        <w:ind w:left="7200" w:hanging="360"/>
      </w:pPr>
      <w:rPr>
        <w:rFonts w:ascii="Wingdings" w:hAnsi="Wingdings" w:hint="default"/>
      </w:rPr>
    </w:lvl>
  </w:abstractNum>
  <w:abstractNum w:abstractNumId="26" w15:restartNumberingAfterBreak="0">
    <w:nsid w:val="70AE0868"/>
    <w:multiLevelType w:val="hybridMultilevel"/>
    <w:tmpl w:val="6D281B3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7" w15:restartNumberingAfterBreak="0">
    <w:nsid w:val="721A0D15"/>
    <w:multiLevelType w:val="hybridMultilevel"/>
    <w:tmpl w:val="298C4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302605B"/>
    <w:multiLevelType w:val="multilevel"/>
    <w:tmpl w:val="54BAD0B8"/>
    <w:numStyleLink w:val="HeadingNumList"/>
  </w:abstractNum>
  <w:abstractNum w:abstractNumId="29" w15:restartNumberingAfterBreak="0">
    <w:nsid w:val="7AD922FF"/>
    <w:multiLevelType w:val="hybridMultilevel"/>
    <w:tmpl w:val="7C462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DA873EC"/>
    <w:multiLevelType w:val="hybridMultilevel"/>
    <w:tmpl w:val="554A5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70867125">
    <w:abstractNumId w:val="10"/>
  </w:num>
  <w:num w:numId="2" w16cid:durableId="1549612737">
    <w:abstractNumId w:val="15"/>
  </w:num>
  <w:num w:numId="3" w16cid:durableId="939532319">
    <w:abstractNumId w:val="22"/>
  </w:num>
  <w:num w:numId="4" w16cid:durableId="340746059">
    <w:abstractNumId w:val="8"/>
  </w:num>
  <w:num w:numId="5" w16cid:durableId="594945457">
    <w:abstractNumId w:val="18"/>
  </w:num>
  <w:num w:numId="6" w16cid:durableId="1222212922">
    <w:abstractNumId w:val="25"/>
  </w:num>
  <w:num w:numId="7" w16cid:durableId="101724611">
    <w:abstractNumId w:val="21"/>
  </w:num>
  <w:num w:numId="8" w16cid:durableId="593130771">
    <w:abstractNumId w:val="5"/>
  </w:num>
  <w:num w:numId="9" w16cid:durableId="1517503812">
    <w:abstractNumId w:val="3"/>
  </w:num>
  <w:num w:numId="10" w16cid:durableId="1775981302">
    <w:abstractNumId w:val="2"/>
  </w:num>
  <w:num w:numId="11" w16cid:durableId="1751003764">
    <w:abstractNumId w:val="4"/>
  </w:num>
  <w:num w:numId="12" w16cid:durableId="1363751086">
    <w:abstractNumId w:val="1"/>
  </w:num>
  <w:num w:numId="13" w16cid:durableId="321197759">
    <w:abstractNumId w:val="0"/>
  </w:num>
  <w:num w:numId="14" w16cid:durableId="1115716071">
    <w:abstractNumId w:val="17"/>
  </w:num>
  <w:num w:numId="15" w16cid:durableId="1478184811">
    <w:abstractNumId w:val="16"/>
  </w:num>
  <w:num w:numId="16" w16cid:durableId="1622957895">
    <w:abstractNumId w:val="7"/>
  </w:num>
  <w:num w:numId="17" w16cid:durableId="520167916">
    <w:abstractNumId w:val="9"/>
  </w:num>
  <w:num w:numId="18" w16cid:durableId="1752192050">
    <w:abstractNumId w:val="5"/>
  </w:num>
  <w:num w:numId="19" w16cid:durableId="654459647">
    <w:abstractNumId w:val="9"/>
  </w:num>
  <w:num w:numId="20" w16cid:durableId="1640263418">
    <w:abstractNumId w:val="3"/>
  </w:num>
  <w:num w:numId="21" w16cid:durableId="187137583">
    <w:abstractNumId w:val="2"/>
  </w:num>
  <w:num w:numId="22" w16cid:durableId="118259199">
    <w:abstractNumId w:val="9"/>
  </w:num>
  <w:num w:numId="23" w16cid:durableId="548416288">
    <w:abstractNumId w:val="9"/>
  </w:num>
  <w:num w:numId="24" w16cid:durableId="1278566920">
    <w:abstractNumId w:val="17"/>
  </w:num>
  <w:num w:numId="25" w16cid:durableId="945426817">
    <w:abstractNumId w:val="16"/>
  </w:num>
  <w:num w:numId="26" w16cid:durableId="1735618337">
    <w:abstractNumId w:val="11"/>
  </w:num>
  <w:num w:numId="27" w16cid:durableId="1760178764">
    <w:abstractNumId w:val="28"/>
  </w:num>
  <w:num w:numId="28" w16cid:durableId="300235807">
    <w:abstractNumId w:val="24"/>
  </w:num>
  <w:num w:numId="29" w16cid:durableId="273172262">
    <w:abstractNumId w:val="19"/>
  </w:num>
  <w:num w:numId="30" w16cid:durableId="188416307">
    <w:abstractNumId w:val="13"/>
  </w:num>
  <w:num w:numId="31" w16cid:durableId="888340565">
    <w:abstractNumId w:val="29"/>
  </w:num>
  <w:num w:numId="32" w16cid:durableId="600770645">
    <w:abstractNumId w:val="20"/>
  </w:num>
  <w:num w:numId="33" w16cid:durableId="1647969873">
    <w:abstractNumId w:val="30"/>
  </w:num>
  <w:num w:numId="34" w16cid:durableId="794368861">
    <w:abstractNumId w:val="6"/>
  </w:num>
  <w:num w:numId="35" w16cid:durableId="742412139">
    <w:abstractNumId w:val="27"/>
  </w:num>
  <w:num w:numId="36" w16cid:durableId="1791898123">
    <w:abstractNumId w:val="12"/>
  </w:num>
  <w:num w:numId="37" w16cid:durableId="1059742989">
    <w:abstractNumId w:val="26"/>
  </w:num>
  <w:num w:numId="38" w16cid:durableId="61297391">
    <w:abstractNumId w:val="23"/>
  </w:num>
  <w:num w:numId="39" w16cid:durableId="1700618833">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te Butler">
    <w15:presenceInfo w15:providerId="AD" w15:userId="S::kbutler@bpf.org.uk::feb97f54-1d2d-4452-ab89-7514ad5df2e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FAC"/>
    <w:rsid w:val="00021DA5"/>
    <w:rsid w:val="00034DF7"/>
    <w:rsid w:val="00036B78"/>
    <w:rsid w:val="00037B26"/>
    <w:rsid w:val="00074507"/>
    <w:rsid w:val="00076B30"/>
    <w:rsid w:val="000777E5"/>
    <w:rsid w:val="0008732E"/>
    <w:rsid w:val="000879F5"/>
    <w:rsid w:val="000A3D76"/>
    <w:rsid w:val="000A641E"/>
    <w:rsid w:val="000B4B5C"/>
    <w:rsid w:val="000C1B4D"/>
    <w:rsid w:val="000E4DB6"/>
    <w:rsid w:val="000E6069"/>
    <w:rsid w:val="000F05E7"/>
    <w:rsid w:val="000F0965"/>
    <w:rsid w:val="001077BE"/>
    <w:rsid w:val="00115EBE"/>
    <w:rsid w:val="001210B1"/>
    <w:rsid w:val="00132286"/>
    <w:rsid w:val="00136363"/>
    <w:rsid w:val="00137C13"/>
    <w:rsid w:val="00157692"/>
    <w:rsid w:val="00163DBA"/>
    <w:rsid w:val="00171970"/>
    <w:rsid w:val="001954F4"/>
    <w:rsid w:val="001A6431"/>
    <w:rsid w:val="001C091A"/>
    <w:rsid w:val="001D4718"/>
    <w:rsid w:val="001E646C"/>
    <w:rsid w:val="001F7FB9"/>
    <w:rsid w:val="002229DE"/>
    <w:rsid w:val="00223D90"/>
    <w:rsid w:val="00224F47"/>
    <w:rsid w:val="00225F50"/>
    <w:rsid w:val="00246BC0"/>
    <w:rsid w:val="00251615"/>
    <w:rsid w:val="002668A3"/>
    <w:rsid w:val="00273316"/>
    <w:rsid w:val="002746DB"/>
    <w:rsid w:val="00293AE5"/>
    <w:rsid w:val="002B45AC"/>
    <w:rsid w:val="002F1458"/>
    <w:rsid w:val="002F5CFA"/>
    <w:rsid w:val="00310FEA"/>
    <w:rsid w:val="00315331"/>
    <w:rsid w:val="0032495B"/>
    <w:rsid w:val="00342DAF"/>
    <w:rsid w:val="00371700"/>
    <w:rsid w:val="003C30EA"/>
    <w:rsid w:val="003E5CDF"/>
    <w:rsid w:val="00400C45"/>
    <w:rsid w:val="00413DF5"/>
    <w:rsid w:val="00421B06"/>
    <w:rsid w:val="004322B9"/>
    <w:rsid w:val="00461597"/>
    <w:rsid w:val="00466A3C"/>
    <w:rsid w:val="00475812"/>
    <w:rsid w:val="004B07D7"/>
    <w:rsid w:val="004B2FAC"/>
    <w:rsid w:val="004C6610"/>
    <w:rsid w:val="004D4848"/>
    <w:rsid w:val="004F1299"/>
    <w:rsid w:val="004F4D8D"/>
    <w:rsid w:val="00514C80"/>
    <w:rsid w:val="00521C04"/>
    <w:rsid w:val="0052322E"/>
    <w:rsid w:val="00550E7E"/>
    <w:rsid w:val="005517FE"/>
    <w:rsid w:val="00572980"/>
    <w:rsid w:val="00576F05"/>
    <w:rsid w:val="005B15E0"/>
    <w:rsid w:val="005D2228"/>
    <w:rsid w:val="005E496F"/>
    <w:rsid w:val="005E76F7"/>
    <w:rsid w:val="005F14AB"/>
    <w:rsid w:val="00604FF0"/>
    <w:rsid w:val="0060645F"/>
    <w:rsid w:val="00607AD7"/>
    <w:rsid w:val="00607E06"/>
    <w:rsid w:val="00620AF7"/>
    <w:rsid w:val="006214E5"/>
    <w:rsid w:val="0063219C"/>
    <w:rsid w:val="0063393D"/>
    <w:rsid w:val="00663383"/>
    <w:rsid w:val="0067180B"/>
    <w:rsid w:val="00694B85"/>
    <w:rsid w:val="006A6166"/>
    <w:rsid w:val="006C534A"/>
    <w:rsid w:val="007129BD"/>
    <w:rsid w:val="00724498"/>
    <w:rsid w:val="0072625A"/>
    <w:rsid w:val="00734EE6"/>
    <w:rsid w:val="0076518A"/>
    <w:rsid w:val="00795543"/>
    <w:rsid w:val="007B6609"/>
    <w:rsid w:val="007C0490"/>
    <w:rsid w:val="007C11DC"/>
    <w:rsid w:val="007F245F"/>
    <w:rsid w:val="00815145"/>
    <w:rsid w:val="0082110E"/>
    <w:rsid w:val="00845A02"/>
    <w:rsid w:val="008722F6"/>
    <w:rsid w:val="00876BD3"/>
    <w:rsid w:val="00890CAF"/>
    <w:rsid w:val="00897D8D"/>
    <w:rsid w:val="008C37C2"/>
    <w:rsid w:val="008D6DCC"/>
    <w:rsid w:val="008E6C91"/>
    <w:rsid w:val="008F4A07"/>
    <w:rsid w:val="00935236"/>
    <w:rsid w:val="00945AB6"/>
    <w:rsid w:val="00952469"/>
    <w:rsid w:val="00965F9B"/>
    <w:rsid w:val="009A1C72"/>
    <w:rsid w:val="009E02E8"/>
    <w:rsid w:val="009E13D2"/>
    <w:rsid w:val="009F522A"/>
    <w:rsid w:val="00A042F0"/>
    <w:rsid w:val="00A12073"/>
    <w:rsid w:val="00A16B03"/>
    <w:rsid w:val="00A5485E"/>
    <w:rsid w:val="00A66F3A"/>
    <w:rsid w:val="00A8614E"/>
    <w:rsid w:val="00A87602"/>
    <w:rsid w:val="00A9382B"/>
    <w:rsid w:val="00AA46CD"/>
    <w:rsid w:val="00AA6B7F"/>
    <w:rsid w:val="00AB2B1A"/>
    <w:rsid w:val="00AC7431"/>
    <w:rsid w:val="00AC7F54"/>
    <w:rsid w:val="00AE08C0"/>
    <w:rsid w:val="00AF4F3B"/>
    <w:rsid w:val="00B02480"/>
    <w:rsid w:val="00B14D33"/>
    <w:rsid w:val="00B33079"/>
    <w:rsid w:val="00B41E17"/>
    <w:rsid w:val="00B428C0"/>
    <w:rsid w:val="00B50D62"/>
    <w:rsid w:val="00B62394"/>
    <w:rsid w:val="00B6296C"/>
    <w:rsid w:val="00B73019"/>
    <w:rsid w:val="00B906C8"/>
    <w:rsid w:val="00BA54B2"/>
    <w:rsid w:val="00BB34BB"/>
    <w:rsid w:val="00BB5D68"/>
    <w:rsid w:val="00BD0950"/>
    <w:rsid w:val="00BE4B36"/>
    <w:rsid w:val="00BE4B92"/>
    <w:rsid w:val="00BE627B"/>
    <w:rsid w:val="00C0279F"/>
    <w:rsid w:val="00C10CB2"/>
    <w:rsid w:val="00C30425"/>
    <w:rsid w:val="00C314A6"/>
    <w:rsid w:val="00C63A2A"/>
    <w:rsid w:val="00C66423"/>
    <w:rsid w:val="00C72A1C"/>
    <w:rsid w:val="00CB5803"/>
    <w:rsid w:val="00CD250F"/>
    <w:rsid w:val="00CF0A60"/>
    <w:rsid w:val="00D370DB"/>
    <w:rsid w:val="00D45004"/>
    <w:rsid w:val="00D63730"/>
    <w:rsid w:val="00D9414E"/>
    <w:rsid w:val="00D96D4D"/>
    <w:rsid w:val="00DA4F0E"/>
    <w:rsid w:val="00DB2BF8"/>
    <w:rsid w:val="00DB39FC"/>
    <w:rsid w:val="00DB3E08"/>
    <w:rsid w:val="00DB5D93"/>
    <w:rsid w:val="00DC1916"/>
    <w:rsid w:val="00DD3A45"/>
    <w:rsid w:val="00DF19EB"/>
    <w:rsid w:val="00E01CA0"/>
    <w:rsid w:val="00E0657F"/>
    <w:rsid w:val="00E06D78"/>
    <w:rsid w:val="00E17C9B"/>
    <w:rsid w:val="00E261C0"/>
    <w:rsid w:val="00E30DE6"/>
    <w:rsid w:val="00E32894"/>
    <w:rsid w:val="00E402BD"/>
    <w:rsid w:val="00E423AA"/>
    <w:rsid w:val="00E53351"/>
    <w:rsid w:val="00E62CA4"/>
    <w:rsid w:val="00E67EFF"/>
    <w:rsid w:val="00E73B90"/>
    <w:rsid w:val="00E76832"/>
    <w:rsid w:val="00E80881"/>
    <w:rsid w:val="00E85F0A"/>
    <w:rsid w:val="00EA1CF8"/>
    <w:rsid w:val="00EB07CD"/>
    <w:rsid w:val="00EC1CE3"/>
    <w:rsid w:val="00EC5A03"/>
    <w:rsid w:val="00ED7135"/>
    <w:rsid w:val="00EE0A09"/>
    <w:rsid w:val="00F3147E"/>
    <w:rsid w:val="00F326D1"/>
    <w:rsid w:val="00F34B05"/>
    <w:rsid w:val="00F43501"/>
    <w:rsid w:val="00F8029D"/>
    <w:rsid w:val="00F83BA9"/>
    <w:rsid w:val="00F92B30"/>
    <w:rsid w:val="00F94ED2"/>
    <w:rsid w:val="00F96AF1"/>
    <w:rsid w:val="00FC26BD"/>
    <w:rsid w:val="00FD65F2"/>
    <w:rsid w:val="00FF0554"/>
    <w:rsid w:val="00FF4C46"/>
    <w:rsid w:val="031B1109"/>
    <w:rsid w:val="035953C1"/>
    <w:rsid w:val="03FE161A"/>
    <w:rsid w:val="04A28C23"/>
    <w:rsid w:val="07D3459D"/>
    <w:rsid w:val="0C8608E4"/>
    <w:rsid w:val="0CF897D9"/>
    <w:rsid w:val="0F7E0E60"/>
    <w:rsid w:val="118B17A1"/>
    <w:rsid w:val="140E2D6D"/>
    <w:rsid w:val="16463D24"/>
    <w:rsid w:val="17B237FA"/>
    <w:rsid w:val="18F1C854"/>
    <w:rsid w:val="1C00AB31"/>
    <w:rsid w:val="21BD8A0C"/>
    <w:rsid w:val="22D1306C"/>
    <w:rsid w:val="242DC84D"/>
    <w:rsid w:val="24559975"/>
    <w:rsid w:val="248DAA06"/>
    <w:rsid w:val="25F732EA"/>
    <w:rsid w:val="26B8AEB1"/>
    <w:rsid w:val="27FB57FC"/>
    <w:rsid w:val="2A032FE7"/>
    <w:rsid w:val="2AD80DEF"/>
    <w:rsid w:val="2AE0715A"/>
    <w:rsid w:val="2EADE9FE"/>
    <w:rsid w:val="368B0C30"/>
    <w:rsid w:val="3A868A77"/>
    <w:rsid w:val="3C91ED29"/>
    <w:rsid w:val="3CE0673E"/>
    <w:rsid w:val="3E9F2240"/>
    <w:rsid w:val="3F8373E2"/>
    <w:rsid w:val="42B22B73"/>
    <w:rsid w:val="4614A73F"/>
    <w:rsid w:val="49F581F7"/>
    <w:rsid w:val="4A84C069"/>
    <w:rsid w:val="4D92F580"/>
    <w:rsid w:val="4E171F9C"/>
    <w:rsid w:val="4F60FEE2"/>
    <w:rsid w:val="4FA04723"/>
    <w:rsid w:val="52E31566"/>
    <w:rsid w:val="53CDE856"/>
    <w:rsid w:val="560BA193"/>
    <w:rsid w:val="5630B46C"/>
    <w:rsid w:val="576D19AD"/>
    <w:rsid w:val="57F890B6"/>
    <w:rsid w:val="58886476"/>
    <w:rsid w:val="5D4AF7EB"/>
    <w:rsid w:val="5F0DC602"/>
    <w:rsid w:val="5F1DAB66"/>
    <w:rsid w:val="5FDD647F"/>
    <w:rsid w:val="603AD1D9"/>
    <w:rsid w:val="613554A1"/>
    <w:rsid w:val="65B61771"/>
    <w:rsid w:val="66552A08"/>
    <w:rsid w:val="667E6B5C"/>
    <w:rsid w:val="6752BB2C"/>
    <w:rsid w:val="694917EE"/>
    <w:rsid w:val="6AD8AAD9"/>
    <w:rsid w:val="6B02C682"/>
    <w:rsid w:val="6F10057E"/>
    <w:rsid w:val="70C09501"/>
    <w:rsid w:val="71CDA148"/>
    <w:rsid w:val="784D82E7"/>
    <w:rsid w:val="7B8D3129"/>
    <w:rsid w:val="7BF0647B"/>
    <w:rsid w:val="7C21499C"/>
    <w:rsid w:val="7D030157"/>
    <w:rsid w:val="7E3090A8"/>
    <w:rsid w:val="7F86C4D7"/>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77ACBE"/>
  <w15:chartTrackingRefBased/>
  <w15:docId w15:val="{E7707E55-4F90-4B4B-96AE-4DD21B3BD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annotation text" w:semiHidden="1"/>
    <w:lsdException w:name="header" w:semiHidden="1"/>
    <w:lsdException w:name="footer" w:semiHidden="1"/>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9" w:qFormat="1"/>
    <w:lsdException w:name="List Number" w:uiPriority="29" w:qFormat="1"/>
    <w:lsdException w:name="List 2" w:semiHidden="1"/>
    <w:lsdException w:name="List 3" w:semiHidden="1"/>
    <w:lsdException w:name="List 4" w:semiHidden="1"/>
    <w:lsdException w:name="List 5" w:semiHidden="1"/>
    <w:lsdException w:name="List Bullet 2" w:uiPriority="19" w:qFormat="1"/>
    <w:lsdException w:name="List Bullet 3" w:uiPriority="19" w:qFormat="1"/>
    <w:lsdException w:name="List Bullet 4" w:semiHidden="1"/>
    <w:lsdException w:name="List Bullet 5" w:semiHidden="1"/>
    <w:lsdException w:name="List Number 2" w:uiPriority="29" w:qFormat="1"/>
    <w:lsdException w:name="List Number 3" w:uiPriority="29" w:qFormat="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890CAF"/>
    <w:pPr>
      <w:spacing w:line="280" w:lineRule="atLeast"/>
    </w:pPr>
    <w:rPr>
      <w:color w:val="58626E" w:themeColor="text2"/>
      <w:sz w:val="20"/>
      <w:szCs w:val="20"/>
    </w:rPr>
  </w:style>
  <w:style w:type="paragraph" w:styleId="Heading1">
    <w:name w:val="heading 1"/>
    <w:basedOn w:val="Normal"/>
    <w:next w:val="Normal"/>
    <w:link w:val="Heading1Char"/>
    <w:uiPriority w:val="9"/>
    <w:qFormat/>
    <w:rsid w:val="005517FE"/>
    <w:pPr>
      <w:keepNext/>
      <w:keepLines/>
      <w:spacing w:after="1400" w:line="400" w:lineRule="atLeast"/>
      <w:outlineLvl w:val="0"/>
    </w:pPr>
    <w:rPr>
      <w:rFonts w:asciiTheme="majorHAnsi" w:eastAsiaTheme="majorEastAsia" w:hAnsiTheme="majorHAnsi" w:cstheme="majorBidi"/>
      <w:bCs/>
      <w:caps/>
      <w:color w:val="198ECA" w:themeColor="accent1"/>
      <w:sz w:val="36"/>
      <w:szCs w:val="36"/>
    </w:rPr>
  </w:style>
  <w:style w:type="paragraph" w:styleId="Heading2">
    <w:name w:val="heading 2"/>
    <w:basedOn w:val="Normal"/>
    <w:next w:val="Normal"/>
    <w:link w:val="Heading2Char"/>
    <w:uiPriority w:val="9"/>
    <w:qFormat/>
    <w:rsid w:val="005517FE"/>
    <w:pPr>
      <w:keepNext/>
      <w:keepLines/>
      <w:spacing w:after="57"/>
      <w:outlineLvl w:val="1"/>
    </w:pPr>
    <w:rPr>
      <w:rFonts w:ascii="Open Sans SemiBold" w:eastAsiaTheme="majorEastAsia" w:hAnsi="Open Sans SemiBold" w:cstheme="majorBidi"/>
    </w:rPr>
  </w:style>
  <w:style w:type="paragraph" w:styleId="Heading3">
    <w:name w:val="heading 3"/>
    <w:basedOn w:val="Normal"/>
    <w:next w:val="Normal"/>
    <w:link w:val="Heading3Char"/>
    <w:uiPriority w:val="9"/>
    <w:qFormat/>
    <w:rsid w:val="001D4718"/>
    <w:pPr>
      <w:keepNext/>
      <w:keepLines/>
      <w:spacing w:after="57"/>
      <w:outlineLvl w:val="2"/>
    </w:pPr>
    <w:rPr>
      <w:rFonts w:ascii="Open Sans" w:eastAsiaTheme="majorEastAsia" w:hAnsi="Open Sans" w:cstheme="majorBidi"/>
      <w:b/>
      <w:iCs/>
      <w:color w:val="198ECA" w:themeColor="accent1"/>
      <w:sz w:val="28"/>
    </w:rPr>
  </w:style>
  <w:style w:type="paragraph" w:styleId="Heading4">
    <w:name w:val="heading 4"/>
    <w:basedOn w:val="Normal"/>
    <w:next w:val="Normal"/>
    <w:link w:val="Heading4Char"/>
    <w:uiPriority w:val="9"/>
    <w:qFormat/>
    <w:rsid w:val="00074507"/>
    <w:pPr>
      <w:keepNext/>
      <w:keepLines/>
      <w:spacing w:line="320" w:lineRule="atLeast"/>
      <w:outlineLvl w:val="3"/>
    </w:pPr>
    <w:rPr>
      <w:rFonts w:eastAsiaTheme="majorEastAsia" w:cstheme="majorBidi"/>
      <w:iCs/>
      <w:color w:val="198ECA" w:themeColor="accent1"/>
      <w:sz w:val="28"/>
      <w:szCs w:val="28"/>
    </w:rPr>
  </w:style>
  <w:style w:type="paragraph" w:styleId="Heading5">
    <w:name w:val="heading 5"/>
    <w:basedOn w:val="Normal"/>
    <w:next w:val="Normal"/>
    <w:link w:val="Heading5Char"/>
    <w:uiPriority w:val="9"/>
    <w:qFormat/>
    <w:rsid w:val="005B15E0"/>
    <w:pPr>
      <w:keepNext/>
      <w:keepLines/>
      <w:spacing w:before="60" w:line="220" w:lineRule="atLeast"/>
      <w:outlineLvl w:val="4"/>
    </w:pPr>
    <w:rPr>
      <w:rFonts w:asciiTheme="majorHAnsi" w:eastAsiaTheme="majorEastAsia" w:hAnsiTheme="majorHAnsi" w:cstheme="majorBidi"/>
      <w:caps/>
      <w:color w:val="198ECA" w:themeColor="accent1"/>
      <w:sz w:val="18"/>
      <w:szCs w:val="18"/>
    </w:rPr>
  </w:style>
  <w:style w:type="paragraph" w:styleId="Heading6">
    <w:name w:val="heading 6"/>
    <w:basedOn w:val="Normal"/>
    <w:next w:val="BodyText"/>
    <w:link w:val="Heading6Char"/>
    <w:uiPriority w:val="9"/>
    <w:qFormat/>
    <w:rsid w:val="00074507"/>
    <w:pPr>
      <w:keepNext/>
      <w:keepLines/>
      <w:spacing w:line="220" w:lineRule="atLeast"/>
      <w:outlineLvl w:val="5"/>
    </w:pPr>
    <w:rPr>
      <w:rFonts w:asciiTheme="majorHAnsi" w:eastAsiaTheme="majorEastAsia" w:hAnsiTheme="majorHAnsi" w:cstheme="majorBidi"/>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49"/>
    <w:rsid w:val="008E6C91"/>
    <w:pPr>
      <w:spacing w:after="40"/>
    </w:pPr>
    <w:rPr>
      <w:sz w:val="16"/>
    </w:rPr>
  </w:style>
  <w:style w:type="character" w:customStyle="1" w:styleId="FootnoteTextChar">
    <w:name w:val="Footnote Text Char"/>
    <w:basedOn w:val="DefaultParagraphFont"/>
    <w:link w:val="FootnoteText"/>
    <w:uiPriority w:val="49"/>
    <w:rsid w:val="008E6C91"/>
    <w:rPr>
      <w:sz w:val="16"/>
    </w:rPr>
  </w:style>
  <w:style w:type="character" w:customStyle="1" w:styleId="Heading1Char">
    <w:name w:val="Heading 1 Char"/>
    <w:basedOn w:val="DefaultParagraphFont"/>
    <w:link w:val="Heading1"/>
    <w:uiPriority w:val="9"/>
    <w:rsid w:val="005517FE"/>
    <w:rPr>
      <w:rFonts w:asciiTheme="majorHAnsi" w:eastAsiaTheme="majorEastAsia" w:hAnsiTheme="majorHAnsi" w:cstheme="majorBidi"/>
      <w:bCs/>
      <w:caps/>
      <w:color w:val="198ECA" w:themeColor="accent1"/>
      <w:sz w:val="36"/>
      <w:szCs w:val="36"/>
    </w:rPr>
  </w:style>
  <w:style w:type="character" w:customStyle="1" w:styleId="Heading2Char">
    <w:name w:val="Heading 2 Char"/>
    <w:basedOn w:val="DefaultParagraphFont"/>
    <w:link w:val="Heading2"/>
    <w:uiPriority w:val="9"/>
    <w:rsid w:val="005517FE"/>
    <w:rPr>
      <w:rFonts w:ascii="Open Sans SemiBold" w:eastAsiaTheme="majorEastAsia" w:hAnsi="Open Sans SemiBold" w:cstheme="majorBidi"/>
      <w:color w:val="58626E" w:themeColor="text2"/>
      <w:sz w:val="20"/>
      <w:szCs w:val="20"/>
    </w:rPr>
  </w:style>
  <w:style w:type="paragraph" w:styleId="Caption">
    <w:name w:val="caption"/>
    <w:basedOn w:val="Normal"/>
    <w:next w:val="Normal"/>
    <w:uiPriority w:val="49"/>
    <w:qFormat/>
    <w:rsid w:val="00572980"/>
    <w:pPr>
      <w:spacing w:before="280" w:line="220" w:lineRule="atLeast"/>
      <w:ind w:left="567"/>
    </w:pPr>
    <w:rPr>
      <w:rFonts w:ascii="Open Sans SemiBold" w:hAnsi="Open Sans SemiBold"/>
      <w:iCs/>
      <w:caps/>
      <w:color w:val="198ECA" w:themeColor="accent1"/>
      <w:sz w:val="14"/>
      <w:szCs w:val="14"/>
    </w:rPr>
  </w:style>
  <w:style w:type="paragraph" w:styleId="TOCHeading">
    <w:name w:val="TOC Heading"/>
    <w:basedOn w:val="Heading1"/>
    <w:next w:val="Normal"/>
    <w:uiPriority w:val="39"/>
    <w:semiHidden/>
    <w:qFormat/>
    <w:rsid w:val="008E6C91"/>
    <w:pPr>
      <w:outlineLvl w:val="9"/>
    </w:pPr>
  </w:style>
  <w:style w:type="numbering" w:customStyle="1" w:styleId="NumList">
    <w:name w:val="NumList"/>
    <w:uiPriority w:val="99"/>
    <w:rsid w:val="008E6C91"/>
    <w:pPr>
      <w:numPr>
        <w:numId w:val="14"/>
      </w:numPr>
    </w:pPr>
  </w:style>
  <w:style w:type="paragraph" w:styleId="ListNumber">
    <w:name w:val="List Number"/>
    <w:basedOn w:val="Normal"/>
    <w:uiPriority w:val="29"/>
    <w:qFormat/>
    <w:rsid w:val="008E6C91"/>
    <w:pPr>
      <w:numPr>
        <w:numId w:val="24"/>
      </w:numPr>
      <w:contextualSpacing/>
    </w:pPr>
  </w:style>
  <w:style w:type="paragraph" w:styleId="ListNumber2">
    <w:name w:val="List Number 2"/>
    <w:basedOn w:val="Normal"/>
    <w:uiPriority w:val="29"/>
    <w:qFormat/>
    <w:rsid w:val="008E6C91"/>
    <w:pPr>
      <w:numPr>
        <w:ilvl w:val="1"/>
        <w:numId w:val="24"/>
      </w:numPr>
      <w:contextualSpacing/>
    </w:pPr>
  </w:style>
  <w:style w:type="paragraph" w:styleId="ListNumber3">
    <w:name w:val="List Number 3"/>
    <w:basedOn w:val="Normal"/>
    <w:uiPriority w:val="29"/>
    <w:qFormat/>
    <w:rsid w:val="008E6C91"/>
    <w:pPr>
      <w:numPr>
        <w:ilvl w:val="2"/>
        <w:numId w:val="24"/>
      </w:numPr>
      <w:contextualSpacing/>
    </w:pPr>
  </w:style>
  <w:style w:type="character" w:customStyle="1" w:styleId="Heading3Char">
    <w:name w:val="Heading 3 Char"/>
    <w:basedOn w:val="DefaultParagraphFont"/>
    <w:link w:val="Heading3"/>
    <w:uiPriority w:val="9"/>
    <w:rsid w:val="001D4718"/>
    <w:rPr>
      <w:rFonts w:ascii="Open Sans" w:eastAsiaTheme="majorEastAsia" w:hAnsi="Open Sans" w:cstheme="majorBidi"/>
      <w:b/>
      <w:iCs/>
      <w:color w:val="198ECA" w:themeColor="accent1"/>
      <w:sz w:val="28"/>
      <w:szCs w:val="20"/>
    </w:rPr>
  </w:style>
  <w:style w:type="numbering" w:customStyle="1" w:styleId="HeadingNumList">
    <w:name w:val="HeadingNumList"/>
    <w:uiPriority w:val="99"/>
    <w:rsid w:val="005517FE"/>
    <w:pPr>
      <w:numPr>
        <w:numId w:val="15"/>
      </w:numPr>
    </w:pPr>
  </w:style>
  <w:style w:type="paragraph" w:styleId="ListBullet">
    <w:name w:val="List Bullet"/>
    <w:basedOn w:val="Normal"/>
    <w:uiPriority w:val="19"/>
    <w:qFormat/>
    <w:rsid w:val="004D4848"/>
    <w:pPr>
      <w:spacing w:after="57"/>
    </w:pPr>
  </w:style>
  <w:style w:type="paragraph" w:styleId="ListBullet2">
    <w:name w:val="List Bullet 2"/>
    <w:basedOn w:val="Normal"/>
    <w:uiPriority w:val="19"/>
    <w:qFormat/>
    <w:rsid w:val="004D4848"/>
    <w:pPr>
      <w:numPr>
        <w:numId w:val="20"/>
      </w:numPr>
      <w:spacing w:after="57"/>
      <w:ind w:left="1135" w:hanging="284"/>
    </w:pPr>
  </w:style>
  <w:style w:type="paragraph" w:styleId="ListBullet3">
    <w:name w:val="List Bullet 3"/>
    <w:basedOn w:val="Normal"/>
    <w:uiPriority w:val="19"/>
    <w:qFormat/>
    <w:rsid w:val="004D4848"/>
    <w:pPr>
      <w:numPr>
        <w:numId w:val="21"/>
      </w:numPr>
      <w:spacing w:after="57"/>
      <w:ind w:left="1418" w:hanging="284"/>
    </w:pPr>
  </w:style>
  <w:style w:type="paragraph" w:styleId="TOC1">
    <w:name w:val="toc 1"/>
    <w:basedOn w:val="Normal"/>
    <w:next w:val="Normal"/>
    <w:uiPriority w:val="39"/>
    <w:semiHidden/>
    <w:rsid w:val="00FD65F2"/>
    <w:pPr>
      <w:spacing w:after="100"/>
    </w:pPr>
  </w:style>
  <w:style w:type="paragraph" w:styleId="TOC2">
    <w:name w:val="toc 2"/>
    <w:basedOn w:val="Normal"/>
    <w:next w:val="Normal"/>
    <w:uiPriority w:val="39"/>
    <w:semiHidden/>
    <w:rsid w:val="00FD65F2"/>
    <w:pPr>
      <w:spacing w:after="100"/>
      <w:ind w:left="220"/>
    </w:pPr>
  </w:style>
  <w:style w:type="paragraph" w:styleId="TOC3">
    <w:name w:val="toc 3"/>
    <w:basedOn w:val="Normal"/>
    <w:next w:val="Normal"/>
    <w:uiPriority w:val="39"/>
    <w:semiHidden/>
    <w:rsid w:val="00FD65F2"/>
    <w:pPr>
      <w:spacing w:after="100"/>
      <w:ind w:left="440"/>
    </w:pPr>
  </w:style>
  <w:style w:type="paragraph" w:styleId="TOC4">
    <w:name w:val="toc 4"/>
    <w:basedOn w:val="Normal"/>
    <w:next w:val="Normal"/>
    <w:uiPriority w:val="39"/>
    <w:semiHidden/>
    <w:rsid w:val="00FD65F2"/>
    <w:pPr>
      <w:spacing w:after="100"/>
      <w:ind w:left="660"/>
    </w:pPr>
  </w:style>
  <w:style w:type="paragraph" w:styleId="TOC5">
    <w:name w:val="toc 5"/>
    <w:basedOn w:val="Normal"/>
    <w:next w:val="Normal"/>
    <w:uiPriority w:val="39"/>
    <w:semiHidden/>
    <w:rsid w:val="00FD65F2"/>
    <w:pPr>
      <w:spacing w:after="100"/>
      <w:ind w:left="880"/>
    </w:pPr>
  </w:style>
  <w:style w:type="paragraph" w:styleId="TOC6">
    <w:name w:val="toc 6"/>
    <w:basedOn w:val="Normal"/>
    <w:next w:val="Normal"/>
    <w:uiPriority w:val="39"/>
    <w:semiHidden/>
    <w:rsid w:val="00FD65F2"/>
    <w:pPr>
      <w:spacing w:after="100"/>
      <w:ind w:left="1100"/>
    </w:pPr>
  </w:style>
  <w:style w:type="paragraph" w:styleId="TOC7">
    <w:name w:val="toc 7"/>
    <w:basedOn w:val="Normal"/>
    <w:next w:val="Normal"/>
    <w:uiPriority w:val="39"/>
    <w:semiHidden/>
    <w:rsid w:val="00FD65F2"/>
    <w:pPr>
      <w:spacing w:after="100"/>
      <w:ind w:left="1320"/>
    </w:pPr>
  </w:style>
  <w:style w:type="paragraph" w:styleId="TOC8">
    <w:name w:val="toc 8"/>
    <w:basedOn w:val="Normal"/>
    <w:next w:val="Normal"/>
    <w:uiPriority w:val="39"/>
    <w:semiHidden/>
    <w:rsid w:val="00FD65F2"/>
    <w:pPr>
      <w:spacing w:after="100"/>
      <w:ind w:left="1540"/>
    </w:pPr>
  </w:style>
  <w:style w:type="paragraph" w:styleId="TOC9">
    <w:name w:val="toc 9"/>
    <w:basedOn w:val="Normal"/>
    <w:next w:val="Normal"/>
    <w:uiPriority w:val="39"/>
    <w:semiHidden/>
    <w:rsid w:val="00FD65F2"/>
    <w:pPr>
      <w:spacing w:after="100"/>
      <w:ind w:left="1760"/>
    </w:pPr>
  </w:style>
  <w:style w:type="table" w:styleId="TableGrid">
    <w:name w:val="Table Grid"/>
    <w:basedOn w:val="TableNormal"/>
    <w:uiPriority w:val="39"/>
    <w:rsid w:val="00724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76518A"/>
    <w:pPr>
      <w:tabs>
        <w:tab w:val="center" w:pos="4513"/>
        <w:tab w:val="right" w:pos="9026"/>
      </w:tabs>
      <w:spacing w:line="180" w:lineRule="atLeast"/>
    </w:pPr>
    <w:rPr>
      <w:caps/>
      <w:color w:val="198ECA" w:themeColor="accent1"/>
      <w:sz w:val="12"/>
    </w:rPr>
  </w:style>
  <w:style w:type="character" w:customStyle="1" w:styleId="HeaderChar">
    <w:name w:val="Header Char"/>
    <w:basedOn w:val="DefaultParagraphFont"/>
    <w:link w:val="Header"/>
    <w:uiPriority w:val="99"/>
    <w:rsid w:val="0076518A"/>
    <w:rPr>
      <w:caps/>
      <w:color w:val="198ECA" w:themeColor="accent1"/>
      <w:sz w:val="12"/>
    </w:rPr>
  </w:style>
  <w:style w:type="paragraph" w:styleId="Footer">
    <w:name w:val="footer"/>
    <w:basedOn w:val="Normal"/>
    <w:link w:val="FooterChar"/>
    <w:uiPriority w:val="99"/>
    <w:rsid w:val="00572980"/>
    <w:pPr>
      <w:pBdr>
        <w:top w:val="single" w:sz="4" w:space="8" w:color="auto"/>
      </w:pBdr>
      <w:tabs>
        <w:tab w:val="center" w:pos="4513"/>
        <w:tab w:val="right" w:pos="9026"/>
      </w:tabs>
      <w:spacing w:line="240" w:lineRule="auto"/>
    </w:pPr>
    <w:rPr>
      <w:rFonts w:asciiTheme="majorHAnsi" w:hAnsiTheme="majorHAnsi"/>
      <w:caps/>
      <w:sz w:val="16"/>
      <w:szCs w:val="16"/>
    </w:rPr>
  </w:style>
  <w:style w:type="character" w:customStyle="1" w:styleId="FooterChar">
    <w:name w:val="Footer Char"/>
    <w:basedOn w:val="DefaultParagraphFont"/>
    <w:link w:val="Footer"/>
    <w:uiPriority w:val="99"/>
    <w:rsid w:val="00572980"/>
    <w:rPr>
      <w:rFonts w:asciiTheme="majorHAnsi" w:hAnsiTheme="majorHAnsi"/>
      <w:caps/>
      <w:color w:val="58626E" w:themeColor="text2"/>
      <w:sz w:val="16"/>
      <w:szCs w:val="16"/>
    </w:rPr>
  </w:style>
  <w:style w:type="paragraph" w:customStyle="1" w:styleId="Reporttitle">
    <w:name w:val="Report title"/>
    <w:basedOn w:val="Normal"/>
    <w:next w:val="Normal"/>
    <w:uiPriority w:val="49"/>
    <w:rsid w:val="00E67EFF"/>
    <w:pPr>
      <w:spacing w:after="240" w:line="216" w:lineRule="auto"/>
    </w:pPr>
    <w:rPr>
      <w:caps/>
      <w:color w:val="FFFFFF" w:themeColor="background1"/>
      <w:sz w:val="48"/>
      <w:szCs w:val="48"/>
    </w:rPr>
  </w:style>
  <w:style w:type="paragraph" w:customStyle="1" w:styleId="DocumentName">
    <w:name w:val="Document Name"/>
    <w:basedOn w:val="Normal"/>
    <w:next w:val="Normal"/>
    <w:uiPriority w:val="49"/>
    <w:rsid w:val="00E67EFF"/>
    <w:pPr>
      <w:spacing w:line="216" w:lineRule="auto"/>
    </w:pPr>
    <w:rPr>
      <w:rFonts w:asciiTheme="majorHAnsi" w:hAnsiTheme="majorHAnsi"/>
      <w:caps/>
      <w:color w:val="FFFFFF" w:themeColor="background1"/>
      <w:sz w:val="36"/>
      <w:szCs w:val="36"/>
    </w:rPr>
  </w:style>
  <w:style w:type="paragraph" w:styleId="BodyText">
    <w:name w:val="Body Text"/>
    <w:basedOn w:val="Normal"/>
    <w:link w:val="BodyTextChar"/>
    <w:qFormat/>
    <w:rsid w:val="00074507"/>
    <w:rPr>
      <w:sz w:val="18"/>
      <w:szCs w:val="18"/>
    </w:rPr>
  </w:style>
  <w:style w:type="character" w:customStyle="1" w:styleId="BodyTextChar">
    <w:name w:val="Body Text Char"/>
    <w:basedOn w:val="DefaultParagraphFont"/>
    <w:link w:val="BodyText"/>
    <w:rsid w:val="00074507"/>
    <w:rPr>
      <w:color w:val="58626E" w:themeColor="text2"/>
      <w:sz w:val="18"/>
      <w:szCs w:val="18"/>
    </w:rPr>
  </w:style>
  <w:style w:type="character" w:styleId="PlaceholderText">
    <w:name w:val="Placeholder Text"/>
    <w:basedOn w:val="DefaultParagraphFont"/>
    <w:uiPriority w:val="99"/>
    <w:semiHidden/>
    <w:rsid w:val="00CB5803"/>
    <w:rPr>
      <w:color w:val="808080"/>
    </w:rPr>
  </w:style>
  <w:style w:type="table" w:customStyle="1" w:styleId="BPFTableStyle">
    <w:name w:val="BPF Table Style"/>
    <w:basedOn w:val="TableNormal"/>
    <w:uiPriority w:val="99"/>
    <w:rsid w:val="002668A3"/>
    <w:rPr>
      <w:sz w:val="16"/>
    </w:rPr>
    <w:tblPr>
      <w:tblBorders>
        <w:top w:val="single" w:sz="4" w:space="0" w:color="58626E" w:themeColor="text2"/>
        <w:bottom w:val="single" w:sz="4" w:space="0" w:color="58626E" w:themeColor="text2"/>
        <w:insideH w:val="single" w:sz="4" w:space="0" w:color="58626E" w:themeColor="text2"/>
      </w:tblBorders>
    </w:tblPr>
    <w:tblStylePr w:type="firstRow">
      <w:rPr>
        <w:rFonts w:ascii="Open Sans SemiBold" w:hAnsi="Open Sans SemiBold"/>
        <w:color w:val="FFFFFF" w:themeColor="background1"/>
      </w:rPr>
      <w:tblPr/>
      <w:tcPr>
        <w:shd w:val="clear" w:color="auto" w:fill="198ECA" w:themeFill="accent1"/>
      </w:tcPr>
    </w:tblStylePr>
    <w:tblStylePr w:type="lastRow">
      <w:tblPr/>
      <w:tcPr>
        <w:tcBorders>
          <w:top w:val="single" w:sz="4" w:space="0" w:color="198ECA" w:themeColor="accent1"/>
          <w:left w:val="nil"/>
          <w:bottom w:val="single" w:sz="4" w:space="0" w:color="198ECA" w:themeColor="accent1"/>
          <w:right w:val="nil"/>
          <w:insideH w:val="nil"/>
          <w:insideV w:val="nil"/>
          <w:tl2br w:val="nil"/>
          <w:tr2bl w:val="nil"/>
        </w:tcBorders>
      </w:tcPr>
    </w:tblStylePr>
  </w:style>
  <w:style w:type="paragraph" w:customStyle="1" w:styleId="Tabletext">
    <w:name w:val="Table text"/>
    <w:basedOn w:val="BodyText"/>
    <w:uiPriority w:val="11"/>
    <w:qFormat/>
    <w:rsid w:val="00897D8D"/>
    <w:pPr>
      <w:spacing w:before="20" w:after="40" w:line="240" w:lineRule="atLeast"/>
      <w:contextualSpacing/>
    </w:pPr>
    <w:rPr>
      <w:sz w:val="16"/>
      <w:szCs w:val="16"/>
    </w:rPr>
  </w:style>
  <w:style w:type="paragraph" w:customStyle="1" w:styleId="Tabletitle">
    <w:name w:val="Table title"/>
    <w:basedOn w:val="Tabletext"/>
    <w:uiPriority w:val="11"/>
    <w:qFormat/>
    <w:rsid w:val="00572980"/>
    <w:rPr>
      <w:rFonts w:ascii="Open Sans SemiBold" w:hAnsi="Open Sans SemiBold"/>
      <w:caps/>
      <w:color w:val="FFFFFF" w:themeColor="background1"/>
    </w:rPr>
  </w:style>
  <w:style w:type="paragraph" w:customStyle="1" w:styleId="Introductiontext">
    <w:name w:val="Introduction text"/>
    <w:basedOn w:val="Normal"/>
    <w:next w:val="Normal"/>
    <w:uiPriority w:val="11"/>
    <w:qFormat/>
    <w:rsid w:val="005517FE"/>
    <w:pPr>
      <w:spacing w:line="300" w:lineRule="atLeast"/>
    </w:pPr>
    <w:rPr>
      <w:color w:val="198ECA" w:themeColor="accent1"/>
      <w:sz w:val="24"/>
    </w:rPr>
  </w:style>
  <w:style w:type="character" w:customStyle="1" w:styleId="Heading4Char">
    <w:name w:val="Heading 4 Char"/>
    <w:basedOn w:val="DefaultParagraphFont"/>
    <w:link w:val="Heading4"/>
    <w:uiPriority w:val="9"/>
    <w:rsid w:val="00074507"/>
    <w:rPr>
      <w:rFonts w:eastAsiaTheme="majorEastAsia" w:cstheme="majorBidi"/>
      <w:iCs/>
      <w:color w:val="198ECA" w:themeColor="accent1"/>
      <w:sz w:val="28"/>
      <w:szCs w:val="28"/>
    </w:rPr>
  </w:style>
  <w:style w:type="character" w:customStyle="1" w:styleId="Heading5Char">
    <w:name w:val="Heading 5 Char"/>
    <w:basedOn w:val="DefaultParagraphFont"/>
    <w:link w:val="Heading5"/>
    <w:uiPriority w:val="9"/>
    <w:rsid w:val="005B15E0"/>
    <w:rPr>
      <w:rFonts w:asciiTheme="majorHAnsi" w:eastAsiaTheme="majorEastAsia" w:hAnsiTheme="majorHAnsi" w:cstheme="majorBidi"/>
      <w:caps/>
      <w:color w:val="198ECA" w:themeColor="accent1"/>
      <w:sz w:val="18"/>
      <w:szCs w:val="18"/>
    </w:rPr>
  </w:style>
  <w:style w:type="character" w:customStyle="1" w:styleId="Heading6Char">
    <w:name w:val="Heading 6 Char"/>
    <w:basedOn w:val="DefaultParagraphFont"/>
    <w:link w:val="Heading6"/>
    <w:uiPriority w:val="9"/>
    <w:rsid w:val="00074507"/>
    <w:rPr>
      <w:rFonts w:asciiTheme="majorHAnsi" w:eastAsiaTheme="majorEastAsia" w:hAnsiTheme="majorHAnsi" w:cstheme="majorBidi"/>
      <w:color w:val="58626E" w:themeColor="text2"/>
      <w:sz w:val="18"/>
      <w:szCs w:val="20"/>
    </w:rPr>
  </w:style>
  <w:style w:type="character" w:styleId="CommentReference">
    <w:name w:val="annotation reference"/>
    <w:basedOn w:val="DefaultParagraphFont"/>
    <w:uiPriority w:val="99"/>
    <w:semiHidden/>
    <w:unhideWhenUsed/>
    <w:rsid w:val="00251615"/>
    <w:rPr>
      <w:sz w:val="16"/>
      <w:szCs w:val="16"/>
    </w:rPr>
  </w:style>
  <w:style w:type="paragraph" w:styleId="CommentText">
    <w:name w:val="annotation text"/>
    <w:basedOn w:val="Normal"/>
    <w:link w:val="CommentTextChar"/>
    <w:uiPriority w:val="99"/>
    <w:unhideWhenUsed/>
    <w:rsid w:val="00251615"/>
    <w:pPr>
      <w:spacing w:after="160" w:line="240" w:lineRule="auto"/>
    </w:pPr>
    <w:rPr>
      <w:rFonts w:eastAsiaTheme="minorHAnsi"/>
      <w:color w:val="auto"/>
      <w:kern w:val="2"/>
      <w:lang w:eastAsia="en-US"/>
      <w14:ligatures w14:val="standardContextual"/>
    </w:rPr>
  </w:style>
  <w:style w:type="character" w:customStyle="1" w:styleId="CommentTextChar">
    <w:name w:val="Comment Text Char"/>
    <w:basedOn w:val="DefaultParagraphFont"/>
    <w:link w:val="CommentText"/>
    <w:uiPriority w:val="99"/>
    <w:rsid w:val="00251615"/>
    <w:rPr>
      <w:rFonts w:eastAsiaTheme="minorHAnsi"/>
      <w:kern w:val="2"/>
      <w:sz w:val="20"/>
      <w:szCs w:val="20"/>
      <w:lang w:eastAsia="en-US"/>
      <w14:ligatures w14:val="standardContextual"/>
    </w:rPr>
  </w:style>
  <w:style w:type="paragraph" w:styleId="ListParagraph">
    <w:name w:val="List Paragraph"/>
    <w:basedOn w:val="Normal"/>
    <w:uiPriority w:val="34"/>
    <w:qFormat/>
    <w:rsid w:val="00DD3A45"/>
    <w:pPr>
      <w:spacing w:after="160" w:line="278" w:lineRule="auto"/>
      <w:ind w:left="720"/>
      <w:contextualSpacing/>
    </w:pPr>
    <w:rPr>
      <w:rFonts w:eastAsiaTheme="minorHAnsi"/>
      <w:color w:val="auto"/>
      <w:kern w:val="2"/>
      <w:sz w:val="24"/>
      <w:szCs w:val="24"/>
      <w:lang w:eastAsia="en-US"/>
      <w14:ligatures w14:val="standardContextual"/>
    </w:rPr>
  </w:style>
  <w:style w:type="paragraph" w:customStyle="1" w:styleId="paragraph">
    <w:name w:val="paragraph"/>
    <w:basedOn w:val="Normal"/>
    <w:rsid w:val="00C72A1C"/>
    <w:pPr>
      <w:spacing w:before="100" w:beforeAutospacing="1" w:after="100" w:afterAutospacing="1" w:line="240" w:lineRule="auto"/>
    </w:pPr>
    <w:rPr>
      <w:rFonts w:ascii="Times New Roman" w:eastAsia="Times New Roman" w:hAnsi="Times New Roman" w:cs="Times New Roman"/>
      <w:color w:val="auto"/>
      <w:sz w:val="24"/>
      <w:szCs w:val="24"/>
      <w:lang w:eastAsia="en-GB"/>
    </w:rPr>
  </w:style>
  <w:style w:type="character" w:customStyle="1" w:styleId="eop">
    <w:name w:val="eop"/>
    <w:basedOn w:val="DefaultParagraphFont"/>
    <w:rsid w:val="00C72A1C"/>
  </w:style>
  <w:style w:type="character" w:customStyle="1" w:styleId="normaltextrun">
    <w:name w:val="normaltextrun"/>
    <w:basedOn w:val="DefaultParagraphFont"/>
    <w:rsid w:val="00C72A1C"/>
  </w:style>
  <w:style w:type="character" w:customStyle="1" w:styleId="tabchar">
    <w:name w:val="tabchar"/>
    <w:basedOn w:val="DefaultParagraphFont"/>
    <w:rsid w:val="00C72A1C"/>
  </w:style>
  <w:style w:type="paragraph" w:styleId="Revision">
    <w:name w:val="Revision"/>
    <w:hidden/>
    <w:uiPriority w:val="99"/>
    <w:semiHidden/>
    <w:rsid w:val="00021DA5"/>
    <w:rPr>
      <w:color w:val="58626E" w:themeColor="text2"/>
      <w:sz w:val="20"/>
      <w:szCs w:val="20"/>
    </w:rPr>
  </w:style>
  <w:style w:type="paragraph" w:styleId="CommentSubject">
    <w:name w:val="annotation subject"/>
    <w:basedOn w:val="CommentText"/>
    <w:next w:val="CommentText"/>
    <w:link w:val="CommentSubjectChar"/>
    <w:uiPriority w:val="99"/>
    <w:semiHidden/>
    <w:rsid w:val="00E53351"/>
    <w:pPr>
      <w:spacing w:after="0"/>
    </w:pPr>
    <w:rPr>
      <w:rFonts w:eastAsiaTheme="minorEastAsia"/>
      <w:b/>
      <w:bCs/>
      <w:color w:val="58626E" w:themeColor="text2"/>
      <w:kern w:val="0"/>
      <w:lang w:eastAsia="zh-TW"/>
      <w14:ligatures w14:val="none"/>
    </w:rPr>
  </w:style>
  <w:style w:type="character" w:customStyle="1" w:styleId="CommentSubjectChar">
    <w:name w:val="Comment Subject Char"/>
    <w:basedOn w:val="CommentTextChar"/>
    <w:link w:val="CommentSubject"/>
    <w:uiPriority w:val="99"/>
    <w:semiHidden/>
    <w:rsid w:val="00E53351"/>
    <w:rPr>
      <w:rFonts w:eastAsiaTheme="minorHAnsi"/>
      <w:b/>
      <w:bCs/>
      <w:color w:val="58626E" w:themeColor="text2"/>
      <w:kern w:val="2"/>
      <w:sz w:val="20"/>
      <w:szCs w:val="20"/>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microsoft.com/office/2011/relationships/people" Target="people.xml"/></Relationships>
</file>

<file path=word/_rels/footer1.xml.rels><?xml version="1.0" encoding="UTF-8" standalone="yes"?>
<Relationships xmlns="http://schemas.openxmlformats.org/package/2006/relationships"><Relationship Id="rId2" Type="http://schemas.openxmlformats.org/officeDocument/2006/relationships/image" Target="media/image5.emf"/><Relationship Id="rId1" Type="http://schemas.openxmlformats.org/officeDocument/2006/relationships/image" Target="media/image4.emf"/></Relationships>
</file>

<file path=word/_rels/footer2.xml.rels><?xml version="1.0" encoding="UTF-8" standalone="yes"?>
<Relationships xmlns="http://schemas.openxmlformats.org/package/2006/relationships"><Relationship Id="rId2" Type="http://schemas.openxmlformats.org/officeDocument/2006/relationships/image" Target="media/image5.emf"/><Relationship Id="rId1" Type="http://schemas.openxmlformats.org/officeDocument/2006/relationships/image" Target="media/image4.emf"/></Relationships>
</file>

<file path=word/_rels/head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MESS~1\AppData\Local\Temp\7zO86A46040\BPF_Consultation%20template_v2.dotx" TargetMode="External"/></Relationships>
</file>

<file path=word/theme/theme1.xml><?xml version="1.0" encoding="utf-8"?>
<a:theme xmlns:a="http://schemas.openxmlformats.org/drawingml/2006/main" name="Office Theme">
  <a:themeElements>
    <a:clrScheme name="BPF colour theme">
      <a:dk1>
        <a:sysClr val="windowText" lastClr="000000"/>
      </a:dk1>
      <a:lt1>
        <a:sysClr val="window" lastClr="FFFFFF"/>
      </a:lt1>
      <a:dk2>
        <a:srgbClr val="58626E"/>
      </a:dk2>
      <a:lt2>
        <a:srgbClr val="E7E6E6"/>
      </a:lt2>
      <a:accent1>
        <a:srgbClr val="198ECA"/>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PF font theme">
      <a:majorFont>
        <a:latin typeface="Open Sans ExtraBold"/>
        <a:ea typeface=""/>
        <a:cs typeface=""/>
      </a:majorFont>
      <a:minorFont>
        <a:latin typeface="Open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a:solidFill>
          <a:schemeClr val="lt1"/>
        </a:solidFill>
        <a:ln w="6350">
          <a:solidFill>
            <a:prstClr val="black"/>
          </a:solidFill>
        </a:ln>
      </a:spPr>
      <a:bodyPr wrap="square" rtlCol="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9282885-2a61-4f59-8308-712f1b3cd72c" xsi:nil="true"/>
    <lcf76f155ced4ddcb4097134ff3c332f xmlns="b8920b28-e74f-423e-a588-7b0852b2e16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90B99B90759F8418E10CBFBDA76CD0C" ma:contentTypeVersion="19" ma:contentTypeDescription="Create a new document." ma:contentTypeScope="" ma:versionID="9369c6fc091362f2ee91cc549341d57c">
  <xsd:schema xmlns:xsd="http://www.w3.org/2001/XMLSchema" xmlns:xs="http://www.w3.org/2001/XMLSchema" xmlns:p="http://schemas.microsoft.com/office/2006/metadata/properties" xmlns:ns2="b8920b28-e74f-423e-a588-7b0852b2e168" xmlns:ns3="89282885-2a61-4f59-8308-712f1b3cd72c" targetNamespace="http://schemas.microsoft.com/office/2006/metadata/properties" ma:root="true" ma:fieldsID="5e3aad2938d7cfc8716e0c03fdb5872c" ns2:_="" ns3:_="">
    <xsd:import namespace="b8920b28-e74f-423e-a588-7b0852b2e168"/>
    <xsd:import namespace="89282885-2a61-4f59-8308-712f1b3cd7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920b28-e74f-423e-a588-7b0852b2e1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572ff15-131d-4eef-a922-27e95624862c"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282885-2a61-4f59-8308-712f1b3cd72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2a4a335-ab24-4e68-8dc6-00cf44973815}" ma:internalName="TaxCatchAll" ma:showField="CatchAllData" ma:web="89282885-2a61-4f59-8308-712f1b3cd7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F4511C-88D5-4CE4-879C-57EF716555EA}">
  <ds:schemaRefs>
    <ds:schemaRef ds:uri="http://schemas.microsoft.com/office/2006/metadata/properties"/>
    <ds:schemaRef ds:uri="http://schemas.microsoft.com/office/infopath/2007/PartnerControls"/>
    <ds:schemaRef ds:uri="89282885-2a61-4f59-8308-712f1b3cd72c"/>
    <ds:schemaRef ds:uri="b8920b28-e74f-423e-a588-7b0852b2e168"/>
  </ds:schemaRefs>
</ds:datastoreItem>
</file>

<file path=customXml/itemProps2.xml><?xml version="1.0" encoding="utf-8"?>
<ds:datastoreItem xmlns:ds="http://schemas.openxmlformats.org/officeDocument/2006/customXml" ds:itemID="{06CB5883-A314-43A7-91AD-2B8AB15BCE4F}">
  <ds:schemaRefs>
    <ds:schemaRef ds:uri="http://schemas.openxmlformats.org/officeDocument/2006/bibliography"/>
  </ds:schemaRefs>
</ds:datastoreItem>
</file>

<file path=customXml/itemProps3.xml><?xml version="1.0" encoding="utf-8"?>
<ds:datastoreItem xmlns:ds="http://schemas.openxmlformats.org/officeDocument/2006/customXml" ds:itemID="{1854A0BC-51BC-46FC-9727-5833103FF0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920b28-e74f-423e-a588-7b0852b2e168"/>
    <ds:schemaRef ds:uri="89282885-2a61-4f59-8308-712f1b3cd7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A3B9F9-F79C-467B-BE3A-75B30940FA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BPF_Consultation template_v2</Template>
  <TotalTime>1</TotalTime>
  <Pages>20</Pages>
  <Words>5630</Words>
  <Characters>32660</Characters>
  <Application>Microsoft Office Word</Application>
  <DocSecurity>0</DocSecurity>
  <Lines>725</Lines>
  <Paragraphs>271</Paragraphs>
  <ScaleCrop>false</ScaleCrop>
  <HeadingPairs>
    <vt:vector size="2" baseType="variant">
      <vt:variant>
        <vt:lpstr>Title</vt:lpstr>
      </vt:variant>
      <vt:variant>
        <vt:i4>1</vt:i4>
      </vt:variant>
    </vt:vector>
  </HeadingPairs>
  <TitlesOfParts>
    <vt:vector size="1" baseType="lpstr">
      <vt:lpstr>Minutes</vt:lpstr>
    </vt:vector>
  </TitlesOfParts>
  <Company/>
  <LinksUpToDate>false</LinksUpToDate>
  <CharactersWithSpaces>38019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subject/>
  <dc:creator>James Simondson</dc:creator>
  <cp:keywords/>
  <dc:description/>
  <cp:lastModifiedBy>Jordan McCay</cp:lastModifiedBy>
  <cp:revision>2</cp:revision>
  <dcterms:created xsi:type="dcterms:W3CDTF">2026-01-22T13:28:00Z</dcterms:created>
  <dcterms:modified xsi:type="dcterms:W3CDTF">2026-01-22T13:28:00Z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0x010100B90B99B90759F8418E10CBFBDA76CD0C</vt:lpwstr>
  </property>
  <property fmtid="{D5CDD505-2E9C-101B-9397-08002B2CF9AE}" pid="3" name="MediaServiceImageTags">
    <vt:lpwstr/>
  </property>
</Properties>
</file>